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F3" w:rsidRDefault="00D17EF3" w:rsidP="00D17EF3">
      <w:pPr>
        <w:jc w:val="center"/>
        <w:rPr>
          <w:b/>
          <w:sz w:val="28"/>
          <w:szCs w:val="28"/>
        </w:rPr>
      </w:pPr>
      <w:r>
        <w:rPr>
          <w:noProof/>
        </w:rPr>
        <w:drawing>
          <wp:inline distT="0" distB="0" distL="0" distR="0" wp14:anchorId="60AFE28D" wp14:editId="56932505">
            <wp:extent cx="2956560" cy="802005"/>
            <wp:effectExtent l="0" t="0" r="0" b="0"/>
            <wp:docPr id="1" name="Picture 1" descr="C:\Users\mclaughlinr\Desktop\Marketing Material\BVU GPS 289.jpg"/>
            <wp:cNvGraphicFramePr/>
            <a:graphic xmlns:a="http://schemas.openxmlformats.org/drawingml/2006/main">
              <a:graphicData uri="http://schemas.openxmlformats.org/drawingml/2006/picture">
                <pic:pic xmlns:pic="http://schemas.openxmlformats.org/drawingml/2006/picture">
                  <pic:nvPicPr>
                    <pic:cNvPr id="1" name="Picture 1" descr="C:\Users\mclaughlinr\Desktop\Marketing Material\BVU GPS 289.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6560" cy="802005"/>
                    </a:xfrm>
                    <a:prstGeom prst="rect">
                      <a:avLst/>
                    </a:prstGeom>
                    <a:noFill/>
                    <a:ln>
                      <a:noFill/>
                    </a:ln>
                  </pic:spPr>
                </pic:pic>
              </a:graphicData>
            </a:graphic>
          </wp:inline>
        </w:drawing>
      </w:r>
    </w:p>
    <w:p w:rsidR="00D17EF3" w:rsidRPr="00D17EF3" w:rsidRDefault="00D17EF3" w:rsidP="00D17EF3">
      <w:pPr>
        <w:pStyle w:val="NoSpacing"/>
        <w:jc w:val="center"/>
      </w:pPr>
    </w:p>
    <w:p w:rsidR="00C40F59" w:rsidRPr="00C40F59" w:rsidRDefault="0027582E" w:rsidP="00D17EF3">
      <w:pPr>
        <w:jc w:val="center"/>
        <w:rPr>
          <w:b/>
          <w:sz w:val="28"/>
          <w:szCs w:val="28"/>
        </w:rPr>
      </w:pPr>
      <w:r>
        <w:rPr>
          <w:b/>
          <w:sz w:val="28"/>
          <w:szCs w:val="28"/>
        </w:rPr>
        <w:t xml:space="preserve">B.A. Degree with a Major in </w:t>
      </w:r>
      <w:r w:rsidR="00703CD1" w:rsidRPr="00C40F59">
        <w:rPr>
          <w:b/>
          <w:sz w:val="28"/>
          <w:szCs w:val="28"/>
        </w:rPr>
        <w:t>English</w:t>
      </w:r>
      <w:r>
        <w:rPr>
          <w:b/>
          <w:sz w:val="28"/>
          <w:szCs w:val="28"/>
        </w:rPr>
        <w:t xml:space="preserve"> and a Secondary Education Certificate</w:t>
      </w:r>
    </w:p>
    <w:p w:rsidR="00C40F59" w:rsidRDefault="00C40F59" w:rsidP="00637E58">
      <w:pPr>
        <w:pStyle w:val="NoSpacing"/>
        <w:jc w:val="center"/>
        <w:rPr>
          <w:rFonts w:cs="Times New Roman"/>
          <w:sz w:val="20"/>
          <w:szCs w:val="20"/>
        </w:rPr>
      </w:pPr>
    </w:p>
    <w:p w:rsidR="00B92B8E" w:rsidRDefault="00B92B8E" w:rsidP="00B92B8E">
      <w:pPr>
        <w:pStyle w:val="NoSpacing"/>
        <w:spacing w:line="216" w:lineRule="auto"/>
      </w:pPr>
      <w:r>
        <w:t xml:space="preserve">Buena Vista University Graduate &amp; Professional Studies is exclusively for students seeking to complete degrees begun elsewhere. We facilitate the smooth transfer of credits from Southeastern Community College. This advising guide is effective for students entering BVU in the 2015-16 academic years. As course and degree requirements change, students are encouraged to consult with BVU personnel. </w:t>
      </w:r>
    </w:p>
    <w:p w:rsidR="00B92B8E" w:rsidRDefault="00B92B8E" w:rsidP="00B92B8E">
      <w:pPr>
        <w:pStyle w:val="NoSpacing"/>
        <w:spacing w:line="216" w:lineRule="auto"/>
      </w:pPr>
    </w:p>
    <w:p w:rsidR="00B92B8E" w:rsidRDefault="00B92B8E" w:rsidP="00B92B8E">
      <w:pPr>
        <w:pStyle w:val="NoSpacing"/>
        <w:spacing w:line="216" w:lineRule="auto"/>
      </w:pPr>
      <w:r>
        <w:t>Southeastern Community College has a full articulation with Buena Vista University.  Students who have completed an approved associate’s degree at SCC can seamlessly move on to complete a bachelor’s degree through Buena Vista University.</w:t>
      </w:r>
    </w:p>
    <w:p w:rsidR="00E90052" w:rsidRDefault="00E90052" w:rsidP="0047297B">
      <w:pPr>
        <w:pStyle w:val="NoSpacing"/>
        <w:rPr>
          <w:rFonts w:cs="Times New Roman"/>
          <w:b/>
          <w:szCs w:val="24"/>
        </w:rPr>
      </w:pPr>
    </w:p>
    <w:p w:rsidR="0047297B" w:rsidRDefault="0047297B" w:rsidP="0047297B">
      <w:pPr>
        <w:pStyle w:val="NoSpacing"/>
        <w:rPr>
          <w:rFonts w:cs="Times New Roman"/>
          <w:b/>
          <w:szCs w:val="24"/>
        </w:rPr>
      </w:pPr>
      <w:r w:rsidRPr="00C40F59">
        <w:rPr>
          <w:rFonts w:cs="Times New Roman"/>
          <w:b/>
          <w:szCs w:val="24"/>
        </w:rPr>
        <w:t>Education Core:</w:t>
      </w:r>
    </w:p>
    <w:p w:rsidR="00E90052" w:rsidRPr="0027582E" w:rsidRDefault="00E90052" w:rsidP="0047297B">
      <w:pPr>
        <w:pStyle w:val="NoSpacing"/>
        <w:rPr>
          <w:rFonts w:cs="Times New Roman"/>
          <w:sz w:val="12"/>
          <w:szCs w:val="12"/>
        </w:rPr>
      </w:pPr>
    </w:p>
    <w:tbl>
      <w:tblPr>
        <w:tblStyle w:val="TableGrid"/>
        <w:tblW w:w="0" w:type="auto"/>
        <w:tblLook w:val="04A0" w:firstRow="1" w:lastRow="0" w:firstColumn="1" w:lastColumn="0" w:noHBand="0" w:noVBand="1"/>
      </w:tblPr>
      <w:tblGrid>
        <w:gridCol w:w="5498"/>
        <w:gridCol w:w="5498"/>
      </w:tblGrid>
      <w:tr w:rsidR="00E82EB9" w:rsidRPr="000C78F5" w:rsidTr="002D5257">
        <w:trPr>
          <w:trHeight w:val="270"/>
        </w:trPr>
        <w:tc>
          <w:tcPr>
            <w:tcW w:w="5498" w:type="dxa"/>
          </w:tcPr>
          <w:p w:rsidR="00E82EB9" w:rsidRPr="00914D0E" w:rsidRDefault="00E82EB9" w:rsidP="00E82EB9">
            <w:pPr>
              <w:pStyle w:val="NoSpacing"/>
              <w:rPr>
                <w:rFonts w:cs="Times New Roman"/>
                <w:sz w:val="22"/>
              </w:rPr>
            </w:pPr>
            <w:r w:rsidRPr="00914D0E">
              <w:rPr>
                <w:rFonts w:cs="Times New Roman"/>
                <w:sz w:val="22"/>
              </w:rPr>
              <w:t>EDCO 240 – Development of the School-Aged Child</w:t>
            </w:r>
          </w:p>
        </w:tc>
        <w:tc>
          <w:tcPr>
            <w:tcW w:w="5498" w:type="dxa"/>
          </w:tcPr>
          <w:p w:rsidR="00E82EB9" w:rsidRPr="0062274D" w:rsidRDefault="002D5257" w:rsidP="00E82EB9">
            <w:pPr>
              <w:pStyle w:val="NoSpacing"/>
              <w:rPr>
                <w:rFonts w:cs="Times New Roman"/>
                <w:i/>
                <w:sz w:val="22"/>
              </w:rPr>
            </w:pPr>
            <w:r>
              <w:rPr>
                <w:rFonts w:cs="Times New Roman"/>
                <w:sz w:val="20"/>
              </w:rPr>
              <w:t>No offered equivalence.</w:t>
            </w:r>
          </w:p>
        </w:tc>
      </w:tr>
      <w:tr w:rsidR="00E82EB9" w:rsidRPr="000C78F5" w:rsidTr="002D5257">
        <w:trPr>
          <w:trHeight w:val="218"/>
        </w:trPr>
        <w:tc>
          <w:tcPr>
            <w:tcW w:w="5498" w:type="dxa"/>
          </w:tcPr>
          <w:p w:rsidR="00E82EB9" w:rsidRPr="00914D0E" w:rsidRDefault="00E82EB9" w:rsidP="00E82EB9">
            <w:pPr>
              <w:pStyle w:val="NoSpacing"/>
              <w:rPr>
                <w:rFonts w:cs="Times New Roman"/>
                <w:sz w:val="22"/>
              </w:rPr>
            </w:pPr>
            <w:r w:rsidRPr="00914D0E">
              <w:rPr>
                <w:rFonts w:cs="Times New Roman"/>
                <w:sz w:val="22"/>
              </w:rPr>
              <w:t>EDCO 245 – Learning and Motivation</w:t>
            </w:r>
          </w:p>
        </w:tc>
        <w:tc>
          <w:tcPr>
            <w:tcW w:w="5498" w:type="dxa"/>
          </w:tcPr>
          <w:p w:rsidR="00E82EB9" w:rsidRPr="00914D0E" w:rsidRDefault="002D5257" w:rsidP="00E82EB9">
            <w:pPr>
              <w:pStyle w:val="NoSpacing"/>
              <w:rPr>
                <w:rFonts w:cs="Times New Roman"/>
                <w:sz w:val="22"/>
              </w:rPr>
            </w:pPr>
            <w:r>
              <w:rPr>
                <w:rFonts w:cs="Times New Roman"/>
                <w:sz w:val="22"/>
              </w:rPr>
              <w:t>EDU 240 – Educational Psychology</w:t>
            </w:r>
          </w:p>
        </w:tc>
      </w:tr>
      <w:tr w:rsidR="00E82EB9" w:rsidRPr="000C78F5" w:rsidTr="002D5257">
        <w:trPr>
          <w:trHeight w:val="253"/>
        </w:trPr>
        <w:tc>
          <w:tcPr>
            <w:tcW w:w="5498" w:type="dxa"/>
          </w:tcPr>
          <w:p w:rsidR="00E82EB9" w:rsidRPr="00914D0E" w:rsidRDefault="00E82EB9" w:rsidP="00E82EB9">
            <w:pPr>
              <w:pStyle w:val="NoSpacing"/>
              <w:rPr>
                <w:rFonts w:cs="Times New Roman"/>
                <w:sz w:val="22"/>
              </w:rPr>
            </w:pPr>
            <w:r w:rsidRPr="00914D0E">
              <w:rPr>
                <w:rFonts w:cs="Times New Roman"/>
                <w:sz w:val="22"/>
              </w:rPr>
              <w:t>EDCO 255/256 – Professional Seminar I &amp; Field Experience: Learning and Motivation</w:t>
            </w:r>
          </w:p>
        </w:tc>
        <w:tc>
          <w:tcPr>
            <w:tcW w:w="5498" w:type="dxa"/>
          </w:tcPr>
          <w:p w:rsidR="00E82EB9" w:rsidRPr="00297013" w:rsidRDefault="002D5257" w:rsidP="00EF45AF">
            <w:pPr>
              <w:pStyle w:val="NoSpacing"/>
              <w:rPr>
                <w:rFonts w:cs="Times New Roman"/>
                <w:sz w:val="20"/>
                <w:szCs w:val="20"/>
              </w:rPr>
            </w:pPr>
            <w:r>
              <w:rPr>
                <w:sz w:val="22"/>
              </w:rPr>
              <w:t>ECE 932 -- Internship</w:t>
            </w:r>
            <w:r w:rsidR="00680C08">
              <w:rPr>
                <w:sz w:val="22"/>
              </w:rPr>
              <w:t xml:space="preserve"> </w:t>
            </w:r>
            <w:r w:rsidR="00680C08" w:rsidRPr="00FA6631">
              <w:rPr>
                <w:i/>
                <w:sz w:val="22"/>
              </w:rPr>
              <w:t>w/ 15 hours or more of observation</w:t>
            </w:r>
          </w:p>
        </w:tc>
      </w:tr>
      <w:tr w:rsidR="00E82EB9" w:rsidRPr="000C78F5" w:rsidTr="002D5257">
        <w:trPr>
          <w:trHeight w:val="245"/>
        </w:trPr>
        <w:tc>
          <w:tcPr>
            <w:tcW w:w="5498" w:type="dxa"/>
          </w:tcPr>
          <w:p w:rsidR="00E82EB9" w:rsidRPr="00914D0E" w:rsidRDefault="00E82EB9" w:rsidP="00E82EB9">
            <w:pPr>
              <w:pStyle w:val="NoSpacing"/>
              <w:rPr>
                <w:rFonts w:cs="Times New Roman"/>
                <w:sz w:val="22"/>
              </w:rPr>
            </w:pPr>
            <w:r w:rsidRPr="00914D0E">
              <w:rPr>
                <w:rFonts w:cs="Times New Roman"/>
                <w:sz w:val="22"/>
              </w:rPr>
              <w:t>EDCO 280 – History of American Education</w:t>
            </w:r>
          </w:p>
        </w:tc>
        <w:tc>
          <w:tcPr>
            <w:tcW w:w="5498" w:type="dxa"/>
          </w:tcPr>
          <w:p w:rsidR="00E82EB9" w:rsidRDefault="00E82EB9" w:rsidP="002D5257">
            <w:pPr>
              <w:pStyle w:val="NoSpacing"/>
              <w:rPr>
                <w:rFonts w:cs="Times New Roman"/>
                <w:sz w:val="22"/>
              </w:rPr>
            </w:pPr>
            <w:r w:rsidRPr="00914D0E">
              <w:rPr>
                <w:rFonts w:cs="Times New Roman"/>
                <w:sz w:val="22"/>
              </w:rPr>
              <w:t>EDU</w:t>
            </w:r>
            <w:r w:rsidR="002D5257">
              <w:rPr>
                <w:rFonts w:cs="Times New Roman"/>
                <w:sz w:val="22"/>
              </w:rPr>
              <w:t xml:space="preserve"> 210 – Foundations of Education</w:t>
            </w:r>
          </w:p>
          <w:p w:rsidR="00674D39" w:rsidRPr="00674D39" w:rsidRDefault="00674D39" w:rsidP="002D5257">
            <w:pPr>
              <w:pStyle w:val="NoSpacing"/>
              <w:rPr>
                <w:rFonts w:cs="Times New Roman"/>
                <w:i/>
                <w:color w:val="FF0000"/>
                <w:sz w:val="22"/>
              </w:rPr>
            </w:pPr>
            <w:r w:rsidRPr="00605555">
              <w:rPr>
                <w:rFonts w:cs="Times New Roman"/>
                <w:i/>
                <w:sz w:val="22"/>
              </w:rPr>
              <w:t>Also need EDCO 370 – Human Relations</w:t>
            </w:r>
          </w:p>
        </w:tc>
      </w:tr>
      <w:tr w:rsidR="00E82EB9" w:rsidRPr="000C78F5" w:rsidTr="002D5257">
        <w:trPr>
          <w:trHeight w:val="253"/>
        </w:trPr>
        <w:tc>
          <w:tcPr>
            <w:tcW w:w="5498" w:type="dxa"/>
          </w:tcPr>
          <w:p w:rsidR="00E82EB9" w:rsidRPr="00914D0E" w:rsidRDefault="00E82EB9" w:rsidP="00E82EB9">
            <w:pPr>
              <w:pStyle w:val="NoSpacing"/>
              <w:rPr>
                <w:rFonts w:cs="Times New Roman"/>
                <w:sz w:val="22"/>
              </w:rPr>
            </w:pPr>
            <w:r w:rsidRPr="00914D0E">
              <w:rPr>
                <w:rFonts w:cs="Times New Roman"/>
                <w:sz w:val="22"/>
              </w:rPr>
              <w:t>EDCO 290 – Professional Seminar II &amp; Field Experience Human Relations</w:t>
            </w:r>
          </w:p>
        </w:tc>
        <w:tc>
          <w:tcPr>
            <w:tcW w:w="5498" w:type="dxa"/>
          </w:tcPr>
          <w:p w:rsidR="00E82EB9" w:rsidRPr="00297013" w:rsidRDefault="002D5257" w:rsidP="00E82EB9">
            <w:pPr>
              <w:pStyle w:val="NoSpacing"/>
              <w:rPr>
                <w:rFonts w:cs="Times New Roman"/>
                <w:sz w:val="20"/>
                <w:szCs w:val="20"/>
              </w:rPr>
            </w:pPr>
            <w:r>
              <w:rPr>
                <w:rFonts w:cs="Times New Roman"/>
                <w:sz w:val="22"/>
                <w:szCs w:val="20"/>
              </w:rPr>
              <w:t>EDU 920 – Field Experience</w:t>
            </w:r>
          </w:p>
        </w:tc>
      </w:tr>
      <w:tr w:rsidR="00E82EB9" w:rsidRPr="000C78F5" w:rsidTr="002D5257">
        <w:trPr>
          <w:trHeight w:val="506"/>
        </w:trPr>
        <w:tc>
          <w:tcPr>
            <w:tcW w:w="5498" w:type="dxa"/>
          </w:tcPr>
          <w:p w:rsidR="00E82EB9" w:rsidRPr="00914D0E" w:rsidRDefault="00E82EB9" w:rsidP="00E82EB9">
            <w:pPr>
              <w:pStyle w:val="NoSpacing"/>
              <w:rPr>
                <w:rFonts w:cs="Times New Roman"/>
                <w:sz w:val="22"/>
              </w:rPr>
            </w:pPr>
            <w:r w:rsidRPr="00914D0E">
              <w:rPr>
                <w:rFonts w:cs="Times New Roman"/>
                <w:sz w:val="22"/>
              </w:rPr>
              <w:t>EDCO 300 – Differentiated Instruction for Exceptional Learner</w:t>
            </w:r>
          </w:p>
        </w:tc>
        <w:tc>
          <w:tcPr>
            <w:tcW w:w="5498" w:type="dxa"/>
          </w:tcPr>
          <w:p w:rsidR="00E82EB9" w:rsidRPr="00297013" w:rsidRDefault="002D5257" w:rsidP="00E82EB9">
            <w:pPr>
              <w:pStyle w:val="NoSpacing"/>
              <w:rPr>
                <w:rFonts w:cs="Times New Roman"/>
                <w:sz w:val="20"/>
                <w:szCs w:val="20"/>
              </w:rPr>
            </w:pPr>
            <w:r>
              <w:rPr>
                <w:rFonts w:cs="Times New Roman"/>
                <w:sz w:val="22"/>
                <w:szCs w:val="20"/>
              </w:rPr>
              <w:t>EDU 247 – Teaching Exceptional Learners</w:t>
            </w:r>
          </w:p>
        </w:tc>
      </w:tr>
      <w:tr w:rsidR="00E82EB9" w:rsidRPr="000C78F5" w:rsidTr="002D5257">
        <w:trPr>
          <w:trHeight w:val="300"/>
        </w:trPr>
        <w:tc>
          <w:tcPr>
            <w:tcW w:w="5498" w:type="dxa"/>
          </w:tcPr>
          <w:p w:rsidR="00E82EB9" w:rsidRPr="00914D0E" w:rsidRDefault="00E82EB9" w:rsidP="00E82EB9">
            <w:pPr>
              <w:pStyle w:val="NoSpacing"/>
              <w:rPr>
                <w:rFonts w:cs="Times New Roman"/>
                <w:sz w:val="22"/>
              </w:rPr>
            </w:pPr>
            <w:r w:rsidRPr="00914D0E">
              <w:rPr>
                <w:rFonts w:cs="Times New Roman"/>
                <w:sz w:val="22"/>
              </w:rPr>
              <w:t>EDCO 390 – Instructional Technology</w:t>
            </w:r>
          </w:p>
        </w:tc>
        <w:tc>
          <w:tcPr>
            <w:tcW w:w="5498" w:type="dxa"/>
          </w:tcPr>
          <w:p w:rsidR="00E82EB9" w:rsidRPr="00297013" w:rsidRDefault="00E82EB9" w:rsidP="00E82EB9">
            <w:pPr>
              <w:pStyle w:val="NoSpacing"/>
              <w:rPr>
                <w:rFonts w:cs="Times New Roman"/>
                <w:sz w:val="20"/>
                <w:szCs w:val="20"/>
              </w:rPr>
            </w:pPr>
            <w:r w:rsidRPr="00297013">
              <w:rPr>
                <w:rFonts w:cs="Times New Roman"/>
                <w:sz w:val="20"/>
                <w:szCs w:val="20"/>
              </w:rPr>
              <w:t>No offered equivalence.</w:t>
            </w:r>
          </w:p>
        </w:tc>
      </w:tr>
      <w:tr w:rsidR="00E82EB9" w:rsidRPr="000C78F5" w:rsidTr="002D5257">
        <w:trPr>
          <w:trHeight w:val="253"/>
        </w:trPr>
        <w:tc>
          <w:tcPr>
            <w:tcW w:w="5498" w:type="dxa"/>
          </w:tcPr>
          <w:p w:rsidR="00E82EB9" w:rsidRPr="00914D0E" w:rsidRDefault="00E82EB9" w:rsidP="00E82EB9">
            <w:pPr>
              <w:pStyle w:val="NoSpacing"/>
              <w:rPr>
                <w:rFonts w:cs="Times New Roman"/>
                <w:sz w:val="22"/>
              </w:rPr>
            </w:pPr>
            <w:r w:rsidRPr="00914D0E">
              <w:rPr>
                <w:rFonts w:cs="Times New Roman"/>
                <w:sz w:val="22"/>
              </w:rPr>
              <w:t>EDCO 401 – Classroom Management and Evaluation Techniques</w:t>
            </w:r>
          </w:p>
        </w:tc>
        <w:tc>
          <w:tcPr>
            <w:tcW w:w="5498" w:type="dxa"/>
          </w:tcPr>
          <w:p w:rsidR="00E82EB9" w:rsidRPr="00297013" w:rsidRDefault="00E82EB9" w:rsidP="00E82EB9">
            <w:pPr>
              <w:pStyle w:val="NoSpacing"/>
              <w:rPr>
                <w:rFonts w:cs="Times New Roman"/>
                <w:sz w:val="20"/>
                <w:szCs w:val="20"/>
              </w:rPr>
            </w:pPr>
            <w:r w:rsidRPr="00297013">
              <w:rPr>
                <w:rFonts w:cs="Times New Roman"/>
                <w:sz w:val="20"/>
                <w:szCs w:val="20"/>
              </w:rPr>
              <w:t>No offered equivalence.</w:t>
            </w:r>
          </w:p>
        </w:tc>
      </w:tr>
    </w:tbl>
    <w:p w:rsidR="002D5257" w:rsidRDefault="002D5257" w:rsidP="00904944">
      <w:pPr>
        <w:pStyle w:val="NoSpacing"/>
        <w:rPr>
          <w:rFonts w:cs="Times New Roman"/>
          <w:b/>
          <w:sz w:val="22"/>
        </w:rPr>
      </w:pPr>
    </w:p>
    <w:p w:rsidR="0047297B" w:rsidRDefault="0047297B" w:rsidP="00904944">
      <w:pPr>
        <w:pStyle w:val="NoSpacing"/>
        <w:rPr>
          <w:rFonts w:cs="Times New Roman"/>
          <w:b/>
          <w:sz w:val="22"/>
        </w:rPr>
      </w:pPr>
      <w:r w:rsidRPr="000C78F5">
        <w:rPr>
          <w:rFonts w:cs="Times New Roman"/>
          <w:b/>
          <w:sz w:val="22"/>
        </w:rPr>
        <w:t>Major Requirements:</w:t>
      </w:r>
    </w:p>
    <w:p w:rsidR="00E90052" w:rsidRPr="0027582E" w:rsidRDefault="00E90052" w:rsidP="00E82EB9">
      <w:pPr>
        <w:pStyle w:val="NoSpacing"/>
        <w:jc w:val="center"/>
        <w:rPr>
          <w:sz w:val="12"/>
          <w:szCs w:val="12"/>
        </w:rPr>
      </w:pPr>
    </w:p>
    <w:tbl>
      <w:tblPr>
        <w:tblStyle w:val="TableGrid"/>
        <w:tblW w:w="0" w:type="auto"/>
        <w:tblLook w:val="04A0" w:firstRow="1" w:lastRow="0" w:firstColumn="1" w:lastColumn="0" w:noHBand="0" w:noVBand="1"/>
      </w:tblPr>
      <w:tblGrid>
        <w:gridCol w:w="5465"/>
        <w:gridCol w:w="5465"/>
      </w:tblGrid>
      <w:tr w:rsidR="00E82EB9" w:rsidRPr="000C78F5" w:rsidTr="00E82EB9">
        <w:trPr>
          <w:trHeight w:val="269"/>
        </w:trPr>
        <w:tc>
          <w:tcPr>
            <w:tcW w:w="5465" w:type="dxa"/>
          </w:tcPr>
          <w:p w:rsidR="00E82EB9" w:rsidRPr="000C78F5" w:rsidRDefault="00E82EB9" w:rsidP="00E82EB9">
            <w:pPr>
              <w:pStyle w:val="NoSpacing"/>
              <w:jc w:val="center"/>
              <w:rPr>
                <w:sz w:val="22"/>
              </w:rPr>
            </w:pPr>
            <w:r w:rsidRPr="00C40F59">
              <w:rPr>
                <w:rFonts w:cs="Times New Roman"/>
                <w:b/>
                <w:szCs w:val="24"/>
              </w:rPr>
              <w:t>Buena Vista</w:t>
            </w:r>
            <w:r>
              <w:rPr>
                <w:rFonts w:cs="Times New Roman"/>
                <w:b/>
                <w:szCs w:val="24"/>
              </w:rPr>
              <w:t xml:space="preserve"> University</w:t>
            </w:r>
          </w:p>
        </w:tc>
        <w:tc>
          <w:tcPr>
            <w:tcW w:w="5465" w:type="dxa"/>
          </w:tcPr>
          <w:p w:rsidR="00E82EB9" w:rsidRPr="000D759C" w:rsidRDefault="00B92B8E" w:rsidP="00E82EB9">
            <w:pPr>
              <w:pStyle w:val="NoSpacing"/>
              <w:jc w:val="center"/>
              <w:rPr>
                <w:b/>
                <w:sz w:val="22"/>
              </w:rPr>
            </w:pPr>
            <w:r>
              <w:rPr>
                <w:b/>
                <w:sz w:val="22"/>
              </w:rPr>
              <w:t>Southeastern</w:t>
            </w:r>
            <w:r w:rsidR="00E82EB9" w:rsidRPr="007353AD">
              <w:rPr>
                <w:b/>
                <w:sz w:val="22"/>
              </w:rPr>
              <w:t xml:space="preserve"> Community College</w:t>
            </w:r>
          </w:p>
        </w:tc>
      </w:tr>
      <w:tr w:rsidR="00E82EB9" w:rsidRPr="000C78F5" w:rsidTr="00D17EF3">
        <w:trPr>
          <w:trHeight w:val="516"/>
        </w:trPr>
        <w:tc>
          <w:tcPr>
            <w:tcW w:w="5465" w:type="dxa"/>
          </w:tcPr>
          <w:p w:rsidR="00E82EB9" w:rsidRPr="000C78F5" w:rsidRDefault="00E82EB9" w:rsidP="00E82EB9">
            <w:pPr>
              <w:pStyle w:val="NoSpacing"/>
              <w:rPr>
                <w:sz w:val="22"/>
              </w:rPr>
            </w:pPr>
            <w:r w:rsidRPr="000C78F5">
              <w:rPr>
                <w:sz w:val="22"/>
              </w:rPr>
              <w:t>ENGL 220 – Introduction to Literature: Early Literary Classics</w:t>
            </w:r>
          </w:p>
        </w:tc>
        <w:tc>
          <w:tcPr>
            <w:tcW w:w="5465" w:type="dxa"/>
          </w:tcPr>
          <w:p w:rsidR="00E82EB9" w:rsidRPr="000C78F5" w:rsidRDefault="002D5257" w:rsidP="00E82EB9">
            <w:pPr>
              <w:pStyle w:val="NoSpacing"/>
              <w:rPr>
                <w:sz w:val="22"/>
              </w:rPr>
            </w:pPr>
            <w:r>
              <w:rPr>
                <w:sz w:val="20"/>
              </w:rPr>
              <w:t>No offered equivalence.</w:t>
            </w:r>
            <w:r w:rsidR="00E82EB9" w:rsidRPr="002D5257">
              <w:rPr>
                <w:sz w:val="20"/>
              </w:rPr>
              <w:t xml:space="preserve"> </w:t>
            </w:r>
          </w:p>
        </w:tc>
      </w:tr>
      <w:tr w:rsidR="00E82EB9" w:rsidRPr="000C78F5" w:rsidTr="0056318F">
        <w:trPr>
          <w:trHeight w:val="269"/>
        </w:trPr>
        <w:tc>
          <w:tcPr>
            <w:tcW w:w="5465" w:type="dxa"/>
          </w:tcPr>
          <w:p w:rsidR="00E82EB9" w:rsidRPr="000C78F5" w:rsidRDefault="00E82EB9" w:rsidP="00E82EB9">
            <w:pPr>
              <w:pStyle w:val="NoSpacing"/>
              <w:rPr>
                <w:sz w:val="22"/>
              </w:rPr>
            </w:pPr>
            <w:r w:rsidRPr="000C78F5">
              <w:rPr>
                <w:sz w:val="22"/>
              </w:rPr>
              <w:t xml:space="preserve">ENGL 250 – American Literature </w:t>
            </w:r>
          </w:p>
        </w:tc>
        <w:tc>
          <w:tcPr>
            <w:tcW w:w="5465" w:type="dxa"/>
          </w:tcPr>
          <w:p w:rsidR="00E82EB9" w:rsidRPr="000C78F5" w:rsidRDefault="002D5257" w:rsidP="00E82EB9">
            <w:pPr>
              <w:pStyle w:val="NoSpacing"/>
              <w:rPr>
                <w:sz w:val="22"/>
              </w:rPr>
            </w:pPr>
            <w:r>
              <w:rPr>
                <w:sz w:val="20"/>
              </w:rPr>
              <w:t>No offered equivalence.</w:t>
            </w:r>
          </w:p>
        </w:tc>
      </w:tr>
      <w:tr w:rsidR="00E82EB9" w:rsidRPr="000C78F5" w:rsidTr="00D17EF3">
        <w:trPr>
          <w:trHeight w:val="258"/>
        </w:trPr>
        <w:tc>
          <w:tcPr>
            <w:tcW w:w="5465" w:type="dxa"/>
          </w:tcPr>
          <w:p w:rsidR="00E82EB9" w:rsidRPr="000C78F5" w:rsidRDefault="00E82EB9" w:rsidP="00E82EB9">
            <w:pPr>
              <w:pStyle w:val="NoSpacing"/>
              <w:rPr>
                <w:sz w:val="22"/>
              </w:rPr>
            </w:pPr>
            <w:r w:rsidRPr="000C78F5">
              <w:rPr>
                <w:sz w:val="22"/>
              </w:rPr>
              <w:t>ENGL 261 – British Literature, Beginnings to 1750</w:t>
            </w:r>
          </w:p>
        </w:tc>
        <w:tc>
          <w:tcPr>
            <w:tcW w:w="5465" w:type="dxa"/>
          </w:tcPr>
          <w:p w:rsidR="00E82EB9" w:rsidRPr="002D5257" w:rsidRDefault="002D5257" w:rsidP="00E82EB9">
            <w:pPr>
              <w:pStyle w:val="NoSpacing"/>
              <w:rPr>
                <w:sz w:val="22"/>
              </w:rPr>
            </w:pPr>
            <w:r>
              <w:rPr>
                <w:sz w:val="20"/>
              </w:rPr>
              <w:t>No offered equivalence.</w:t>
            </w:r>
          </w:p>
        </w:tc>
      </w:tr>
      <w:tr w:rsidR="00E82EB9" w:rsidRPr="000C78F5" w:rsidTr="00D17EF3">
        <w:trPr>
          <w:trHeight w:val="247"/>
        </w:trPr>
        <w:tc>
          <w:tcPr>
            <w:tcW w:w="5465" w:type="dxa"/>
          </w:tcPr>
          <w:p w:rsidR="00E82EB9" w:rsidRDefault="00E82EB9" w:rsidP="00E82EB9">
            <w:pPr>
              <w:pStyle w:val="NoSpacing"/>
              <w:rPr>
                <w:sz w:val="22"/>
              </w:rPr>
            </w:pPr>
            <w:r w:rsidRPr="000C78F5">
              <w:rPr>
                <w:sz w:val="22"/>
              </w:rPr>
              <w:t>ENGL 262 – British Literature, 1750 – Present</w:t>
            </w:r>
            <w:r w:rsidR="00605555">
              <w:rPr>
                <w:sz w:val="22"/>
              </w:rPr>
              <w:t xml:space="preserve"> </w:t>
            </w:r>
            <w:r w:rsidR="00605555" w:rsidRPr="00605555">
              <w:rPr>
                <w:i/>
                <w:sz w:val="22"/>
              </w:rPr>
              <w:t>OR</w:t>
            </w:r>
          </w:p>
          <w:p w:rsidR="00605555" w:rsidRPr="000C78F5" w:rsidRDefault="00605555" w:rsidP="00E82EB9">
            <w:pPr>
              <w:pStyle w:val="NoSpacing"/>
              <w:rPr>
                <w:sz w:val="22"/>
              </w:rPr>
            </w:pPr>
            <w:r>
              <w:rPr>
                <w:sz w:val="22"/>
              </w:rPr>
              <w:t>ENGL 276 – World Literature</w:t>
            </w:r>
          </w:p>
        </w:tc>
        <w:tc>
          <w:tcPr>
            <w:tcW w:w="5465" w:type="dxa"/>
          </w:tcPr>
          <w:p w:rsidR="00E82EB9" w:rsidRPr="000C78F5" w:rsidRDefault="002D5257" w:rsidP="00E82EB9">
            <w:pPr>
              <w:pStyle w:val="NoSpacing"/>
              <w:rPr>
                <w:sz w:val="22"/>
              </w:rPr>
            </w:pPr>
            <w:r>
              <w:rPr>
                <w:sz w:val="20"/>
              </w:rPr>
              <w:t>No offered equivalence.</w:t>
            </w:r>
          </w:p>
        </w:tc>
      </w:tr>
      <w:tr w:rsidR="00E82EB9" w:rsidRPr="000C78F5" w:rsidTr="00D17EF3">
        <w:trPr>
          <w:trHeight w:val="258"/>
        </w:trPr>
        <w:tc>
          <w:tcPr>
            <w:tcW w:w="5465" w:type="dxa"/>
          </w:tcPr>
          <w:p w:rsidR="00E82EB9" w:rsidRPr="000C78F5" w:rsidRDefault="00E82EB9" w:rsidP="00E82EB9">
            <w:pPr>
              <w:pStyle w:val="NoSpacing"/>
              <w:rPr>
                <w:sz w:val="22"/>
              </w:rPr>
            </w:pPr>
            <w:r w:rsidRPr="000C78F5">
              <w:rPr>
                <w:sz w:val="22"/>
              </w:rPr>
              <w:t xml:space="preserve">ENGL 300 – Advanced Composition </w:t>
            </w:r>
          </w:p>
        </w:tc>
        <w:tc>
          <w:tcPr>
            <w:tcW w:w="5465" w:type="dxa"/>
          </w:tcPr>
          <w:p w:rsidR="00E82EB9" w:rsidRPr="00330530" w:rsidRDefault="00E82EB9" w:rsidP="00E82EB9">
            <w:pPr>
              <w:pStyle w:val="NoSpacing"/>
              <w:rPr>
                <w:rFonts w:cs="Times New Roman"/>
                <w:sz w:val="20"/>
                <w:szCs w:val="20"/>
              </w:rPr>
            </w:pPr>
            <w:r w:rsidRPr="00330530">
              <w:rPr>
                <w:rFonts w:cs="Times New Roman"/>
                <w:sz w:val="20"/>
                <w:szCs w:val="20"/>
              </w:rPr>
              <w:t>No offered equivalence.</w:t>
            </w:r>
          </w:p>
        </w:tc>
      </w:tr>
      <w:tr w:rsidR="00E82EB9" w:rsidRPr="000C78F5" w:rsidTr="00D17EF3">
        <w:trPr>
          <w:trHeight w:val="258"/>
        </w:trPr>
        <w:tc>
          <w:tcPr>
            <w:tcW w:w="5465" w:type="dxa"/>
          </w:tcPr>
          <w:p w:rsidR="00E82EB9" w:rsidRPr="000C78F5" w:rsidRDefault="00E82EB9" w:rsidP="00E82EB9">
            <w:pPr>
              <w:pStyle w:val="NoSpacing"/>
              <w:rPr>
                <w:sz w:val="22"/>
              </w:rPr>
            </w:pPr>
            <w:r w:rsidRPr="000C78F5">
              <w:rPr>
                <w:sz w:val="22"/>
              </w:rPr>
              <w:t xml:space="preserve">ENGL 331 – Introduction to Linguistics </w:t>
            </w:r>
          </w:p>
        </w:tc>
        <w:tc>
          <w:tcPr>
            <w:tcW w:w="5465" w:type="dxa"/>
          </w:tcPr>
          <w:p w:rsidR="00E82EB9" w:rsidRPr="00330530" w:rsidRDefault="00E82EB9" w:rsidP="00E82EB9">
            <w:pPr>
              <w:pStyle w:val="NoSpacing"/>
              <w:rPr>
                <w:rFonts w:cs="Times New Roman"/>
                <w:sz w:val="20"/>
                <w:szCs w:val="20"/>
              </w:rPr>
            </w:pPr>
            <w:r w:rsidRPr="00330530">
              <w:rPr>
                <w:rFonts w:cs="Times New Roman"/>
                <w:sz w:val="20"/>
                <w:szCs w:val="20"/>
              </w:rPr>
              <w:t>No offered equivalence.</w:t>
            </w:r>
          </w:p>
        </w:tc>
      </w:tr>
      <w:tr w:rsidR="00E82EB9" w:rsidRPr="000C78F5" w:rsidTr="00D17EF3">
        <w:trPr>
          <w:trHeight w:val="258"/>
        </w:trPr>
        <w:tc>
          <w:tcPr>
            <w:tcW w:w="5465" w:type="dxa"/>
          </w:tcPr>
          <w:p w:rsidR="00E82EB9" w:rsidRPr="000C78F5" w:rsidRDefault="00E82EB9" w:rsidP="00E82EB9">
            <w:pPr>
              <w:pStyle w:val="NoSpacing"/>
              <w:rPr>
                <w:sz w:val="22"/>
              </w:rPr>
            </w:pPr>
            <w:r w:rsidRPr="000C78F5">
              <w:rPr>
                <w:sz w:val="22"/>
              </w:rPr>
              <w:t>ENGL 332 – Modern English Grammar</w:t>
            </w:r>
          </w:p>
        </w:tc>
        <w:tc>
          <w:tcPr>
            <w:tcW w:w="5465" w:type="dxa"/>
          </w:tcPr>
          <w:p w:rsidR="00E82EB9" w:rsidRPr="00330530" w:rsidRDefault="00E82EB9" w:rsidP="00E82EB9">
            <w:pPr>
              <w:pStyle w:val="NoSpacing"/>
              <w:rPr>
                <w:rFonts w:cs="Times New Roman"/>
                <w:sz w:val="20"/>
                <w:szCs w:val="20"/>
              </w:rPr>
            </w:pPr>
            <w:r w:rsidRPr="00330530">
              <w:rPr>
                <w:rFonts w:cs="Times New Roman"/>
                <w:sz w:val="20"/>
                <w:szCs w:val="20"/>
              </w:rPr>
              <w:t>No offered equivalence.</w:t>
            </w:r>
          </w:p>
        </w:tc>
      </w:tr>
      <w:tr w:rsidR="00E82EB9" w:rsidRPr="000C78F5" w:rsidTr="00D17EF3">
        <w:trPr>
          <w:trHeight w:val="258"/>
        </w:trPr>
        <w:tc>
          <w:tcPr>
            <w:tcW w:w="5465" w:type="dxa"/>
          </w:tcPr>
          <w:p w:rsidR="00E82EB9" w:rsidRPr="000C78F5" w:rsidRDefault="00E82EB9" w:rsidP="00E82EB9">
            <w:pPr>
              <w:pStyle w:val="NoSpacing"/>
              <w:rPr>
                <w:sz w:val="22"/>
              </w:rPr>
            </w:pPr>
            <w:r w:rsidRPr="000C78F5">
              <w:rPr>
                <w:sz w:val="22"/>
              </w:rPr>
              <w:t>ENGL 340 – Introduction to Literary Theory</w:t>
            </w:r>
          </w:p>
        </w:tc>
        <w:tc>
          <w:tcPr>
            <w:tcW w:w="5465" w:type="dxa"/>
          </w:tcPr>
          <w:p w:rsidR="00E82EB9" w:rsidRPr="00330530" w:rsidRDefault="00E82EB9" w:rsidP="00E82EB9">
            <w:pPr>
              <w:pStyle w:val="NoSpacing"/>
              <w:rPr>
                <w:rFonts w:cs="Times New Roman"/>
                <w:sz w:val="20"/>
                <w:szCs w:val="20"/>
              </w:rPr>
            </w:pPr>
            <w:r w:rsidRPr="00330530">
              <w:rPr>
                <w:rFonts w:cs="Times New Roman"/>
                <w:sz w:val="20"/>
                <w:szCs w:val="20"/>
              </w:rPr>
              <w:t>No offered equivalence.</w:t>
            </w:r>
          </w:p>
        </w:tc>
      </w:tr>
      <w:tr w:rsidR="00E82EB9" w:rsidRPr="000C78F5" w:rsidTr="00D17EF3">
        <w:trPr>
          <w:trHeight w:val="258"/>
        </w:trPr>
        <w:tc>
          <w:tcPr>
            <w:tcW w:w="5465" w:type="dxa"/>
          </w:tcPr>
          <w:p w:rsidR="00E82EB9" w:rsidRPr="000C78F5" w:rsidRDefault="00E82EB9" w:rsidP="00E82EB9">
            <w:pPr>
              <w:pStyle w:val="NoSpacing"/>
              <w:rPr>
                <w:sz w:val="22"/>
              </w:rPr>
            </w:pPr>
            <w:r w:rsidRPr="000C78F5">
              <w:rPr>
                <w:sz w:val="22"/>
              </w:rPr>
              <w:t xml:space="preserve">ENGL 350 – Shakespeare </w:t>
            </w:r>
          </w:p>
        </w:tc>
        <w:tc>
          <w:tcPr>
            <w:tcW w:w="5465" w:type="dxa"/>
          </w:tcPr>
          <w:p w:rsidR="00E82EB9" w:rsidRPr="00330530" w:rsidRDefault="00E82EB9" w:rsidP="00E82EB9">
            <w:pPr>
              <w:pStyle w:val="NoSpacing"/>
              <w:rPr>
                <w:rFonts w:cs="Times New Roman"/>
                <w:sz w:val="20"/>
                <w:szCs w:val="20"/>
              </w:rPr>
            </w:pPr>
            <w:r w:rsidRPr="00330530">
              <w:rPr>
                <w:rFonts w:cs="Times New Roman"/>
                <w:sz w:val="20"/>
                <w:szCs w:val="20"/>
              </w:rPr>
              <w:t>No offered equivalence.</w:t>
            </w:r>
          </w:p>
        </w:tc>
      </w:tr>
      <w:tr w:rsidR="00E82EB9" w:rsidRPr="000C78F5" w:rsidTr="00D17EF3">
        <w:trPr>
          <w:trHeight w:val="258"/>
        </w:trPr>
        <w:tc>
          <w:tcPr>
            <w:tcW w:w="5465" w:type="dxa"/>
          </w:tcPr>
          <w:p w:rsidR="00E82EB9" w:rsidRPr="000C78F5" w:rsidRDefault="00E82EB9" w:rsidP="00E82EB9">
            <w:pPr>
              <w:pStyle w:val="NoSpacing"/>
              <w:rPr>
                <w:sz w:val="22"/>
              </w:rPr>
            </w:pPr>
            <w:r w:rsidRPr="000C78F5">
              <w:rPr>
                <w:sz w:val="22"/>
              </w:rPr>
              <w:t>ENGL 490 – Major Portfolio</w:t>
            </w:r>
          </w:p>
        </w:tc>
        <w:tc>
          <w:tcPr>
            <w:tcW w:w="5465" w:type="dxa"/>
          </w:tcPr>
          <w:p w:rsidR="00E82EB9" w:rsidRPr="00330530" w:rsidRDefault="00E82EB9" w:rsidP="00E82EB9">
            <w:pPr>
              <w:pStyle w:val="NoSpacing"/>
              <w:rPr>
                <w:rFonts w:cs="Times New Roman"/>
                <w:sz w:val="20"/>
                <w:szCs w:val="20"/>
              </w:rPr>
            </w:pPr>
            <w:r w:rsidRPr="00330530">
              <w:rPr>
                <w:rFonts w:cs="Times New Roman"/>
                <w:sz w:val="20"/>
                <w:szCs w:val="20"/>
              </w:rPr>
              <w:t>No offered equivalence.</w:t>
            </w:r>
          </w:p>
        </w:tc>
      </w:tr>
      <w:tr w:rsidR="00E82EB9" w:rsidRPr="000C78F5" w:rsidTr="00D17EF3">
        <w:trPr>
          <w:trHeight w:val="258"/>
        </w:trPr>
        <w:tc>
          <w:tcPr>
            <w:tcW w:w="5465" w:type="dxa"/>
          </w:tcPr>
          <w:p w:rsidR="00E82EB9" w:rsidRPr="000C78F5" w:rsidRDefault="00E82EB9" w:rsidP="00E82EB9">
            <w:pPr>
              <w:pStyle w:val="NoSpacing"/>
              <w:rPr>
                <w:sz w:val="22"/>
              </w:rPr>
            </w:pPr>
            <w:r w:rsidRPr="000C78F5">
              <w:rPr>
                <w:sz w:val="22"/>
              </w:rPr>
              <w:t xml:space="preserve">ENGL 491 – Senior Seminar or elective above </w:t>
            </w:r>
            <w:r>
              <w:rPr>
                <w:sz w:val="22"/>
              </w:rPr>
              <w:t>400</w:t>
            </w:r>
          </w:p>
        </w:tc>
        <w:tc>
          <w:tcPr>
            <w:tcW w:w="5465" w:type="dxa"/>
          </w:tcPr>
          <w:p w:rsidR="00E82EB9" w:rsidRPr="00330530" w:rsidRDefault="00E82EB9" w:rsidP="00E82EB9">
            <w:pPr>
              <w:pStyle w:val="NoSpacing"/>
              <w:rPr>
                <w:rFonts w:cs="Times New Roman"/>
                <w:sz w:val="20"/>
                <w:szCs w:val="20"/>
              </w:rPr>
            </w:pPr>
            <w:r w:rsidRPr="00330530">
              <w:rPr>
                <w:rFonts w:cs="Times New Roman"/>
                <w:sz w:val="20"/>
                <w:szCs w:val="20"/>
              </w:rPr>
              <w:t>No offered equivalence.</w:t>
            </w:r>
          </w:p>
        </w:tc>
      </w:tr>
      <w:tr w:rsidR="00E82EB9" w:rsidRPr="000C78F5" w:rsidTr="00D17EF3">
        <w:trPr>
          <w:trHeight w:val="258"/>
        </w:trPr>
        <w:tc>
          <w:tcPr>
            <w:tcW w:w="5465" w:type="dxa"/>
          </w:tcPr>
          <w:p w:rsidR="00E82EB9" w:rsidRPr="000C78F5" w:rsidRDefault="00E82EB9" w:rsidP="00E82EB9">
            <w:pPr>
              <w:pStyle w:val="NoSpacing"/>
              <w:rPr>
                <w:sz w:val="22"/>
              </w:rPr>
            </w:pPr>
            <w:r w:rsidRPr="000C78F5">
              <w:rPr>
                <w:sz w:val="22"/>
              </w:rPr>
              <w:t>ENGL 400+ Level Elective</w:t>
            </w:r>
          </w:p>
        </w:tc>
        <w:tc>
          <w:tcPr>
            <w:tcW w:w="5465" w:type="dxa"/>
          </w:tcPr>
          <w:p w:rsidR="0056318F" w:rsidRPr="000C78F5" w:rsidRDefault="000B7322" w:rsidP="00E82EB9">
            <w:pPr>
              <w:pStyle w:val="NoSpacing"/>
              <w:rPr>
                <w:sz w:val="22"/>
              </w:rPr>
            </w:pPr>
            <w:r>
              <w:rPr>
                <w:sz w:val="20"/>
              </w:rPr>
              <w:t>No offered equivalence.</w:t>
            </w:r>
          </w:p>
        </w:tc>
      </w:tr>
      <w:tr w:rsidR="00150789" w:rsidRPr="000C78F5" w:rsidTr="00D17EF3">
        <w:trPr>
          <w:trHeight w:val="258"/>
        </w:trPr>
        <w:tc>
          <w:tcPr>
            <w:tcW w:w="5465" w:type="dxa"/>
          </w:tcPr>
          <w:p w:rsidR="00150789" w:rsidRPr="000C78F5" w:rsidRDefault="00150789" w:rsidP="00E82EB9">
            <w:pPr>
              <w:pStyle w:val="NoSpacing"/>
              <w:rPr>
                <w:sz w:val="22"/>
              </w:rPr>
            </w:pPr>
            <w:r>
              <w:rPr>
                <w:sz w:val="22"/>
              </w:rPr>
              <w:t>TEAC 415 – Professional Seminar III: Student Teaching in Secondary English / Language Arts (5-8)</w:t>
            </w:r>
          </w:p>
        </w:tc>
        <w:tc>
          <w:tcPr>
            <w:tcW w:w="5465" w:type="dxa"/>
          </w:tcPr>
          <w:p w:rsidR="00150789" w:rsidRDefault="00150789" w:rsidP="00E82EB9">
            <w:pPr>
              <w:pStyle w:val="NoSpacing"/>
              <w:rPr>
                <w:sz w:val="20"/>
              </w:rPr>
            </w:pPr>
            <w:r>
              <w:rPr>
                <w:sz w:val="20"/>
              </w:rPr>
              <w:t>No offered equivalence.</w:t>
            </w:r>
          </w:p>
        </w:tc>
      </w:tr>
      <w:tr w:rsidR="00150789" w:rsidRPr="000C78F5" w:rsidTr="00D17EF3">
        <w:trPr>
          <w:trHeight w:val="258"/>
        </w:trPr>
        <w:tc>
          <w:tcPr>
            <w:tcW w:w="5465" w:type="dxa"/>
          </w:tcPr>
          <w:p w:rsidR="00150789" w:rsidRPr="000C78F5" w:rsidRDefault="00150789" w:rsidP="00E82EB9">
            <w:pPr>
              <w:pStyle w:val="NoSpacing"/>
              <w:rPr>
                <w:sz w:val="22"/>
              </w:rPr>
            </w:pPr>
            <w:r>
              <w:rPr>
                <w:sz w:val="22"/>
              </w:rPr>
              <w:t>TEAC 42</w:t>
            </w:r>
            <w:r>
              <w:rPr>
                <w:sz w:val="22"/>
              </w:rPr>
              <w:t xml:space="preserve">5 – Professional Seminar III: Student Teaching in Secondary English </w:t>
            </w:r>
            <w:r>
              <w:rPr>
                <w:sz w:val="22"/>
              </w:rPr>
              <w:t>/ Language Arts (9-12</w:t>
            </w:r>
            <w:r>
              <w:rPr>
                <w:sz w:val="22"/>
              </w:rPr>
              <w:t>)</w:t>
            </w:r>
          </w:p>
        </w:tc>
        <w:tc>
          <w:tcPr>
            <w:tcW w:w="5465" w:type="dxa"/>
          </w:tcPr>
          <w:p w:rsidR="00150789" w:rsidRDefault="00150789" w:rsidP="00E82EB9">
            <w:pPr>
              <w:pStyle w:val="NoSpacing"/>
              <w:rPr>
                <w:sz w:val="20"/>
              </w:rPr>
            </w:pPr>
            <w:r>
              <w:rPr>
                <w:sz w:val="20"/>
              </w:rPr>
              <w:t>No offered equivalence.</w:t>
            </w:r>
          </w:p>
        </w:tc>
      </w:tr>
    </w:tbl>
    <w:p w:rsidR="00E90052" w:rsidRDefault="00E90052" w:rsidP="00DA588D">
      <w:pPr>
        <w:pStyle w:val="NoSpacing"/>
        <w:rPr>
          <w:rFonts w:cs="Times New Roman"/>
          <w:b/>
          <w:sz w:val="22"/>
        </w:rPr>
      </w:pPr>
      <w:bookmarkStart w:id="0" w:name="_GoBack"/>
      <w:bookmarkEnd w:id="0"/>
    </w:p>
    <w:p w:rsidR="0078507D" w:rsidRDefault="0078507D" w:rsidP="00DA588D">
      <w:pPr>
        <w:pStyle w:val="NoSpacing"/>
        <w:rPr>
          <w:rFonts w:cs="Times New Roman"/>
          <w:b/>
          <w:sz w:val="22"/>
        </w:rPr>
      </w:pPr>
    </w:p>
    <w:p w:rsidR="00696D13" w:rsidRDefault="00696D13" w:rsidP="00DA588D">
      <w:pPr>
        <w:pStyle w:val="NoSpacing"/>
        <w:rPr>
          <w:rFonts w:cs="Times New Roman"/>
          <w:b/>
          <w:sz w:val="22"/>
        </w:rPr>
      </w:pPr>
    </w:p>
    <w:p w:rsidR="00605555" w:rsidRDefault="00605555" w:rsidP="00DA588D">
      <w:pPr>
        <w:pStyle w:val="NoSpacing"/>
        <w:rPr>
          <w:rFonts w:cs="Times New Roman"/>
          <w:b/>
          <w:sz w:val="22"/>
        </w:rPr>
      </w:pPr>
    </w:p>
    <w:p w:rsidR="0027582E" w:rsidRDefault="0027582E" w:rsidP="00DA588D">
      <w:pPr>
        <w:pStyle w:val="NoSpacing"/>
        <w:rPr>
          <w:rFonts w:cs="Times New Roman"/>
          <w:b/>
          <w:sz w:val="22"/>
        </w:rPr>
      </w:pPr>
    </w:p>
    <w:p w:rsidR="00DA588D" w:rsidRDefault="00DA588D" w:rsidP="00DA588D">
      <w:pPr>
        <w:pStyle w:val="NoSpacing"/>
        <w:rPr>
          <w:rFonts w:cs="Times New Roman"/>
          <w:b/>
          <w:sz w:val="22"/>
        </w:rPr>
      </w:pPr>
      <w:r w:rsidRPr="000C78F5">
        <w:rPr>
          <w:rFonts w:cs="Times New Roman"/>
          <w:b/>
          <w:sz w:val="22"/>
        </w:rPr>
        <w:t>Support Work:</w:t>
      </w:r>
    </w:p>
    <w:p w:rsidR="00E90052" w:rsidRPr="0027582E" w:rsidRDefault="00E90052" w:rsidP="00DA588D">
      <w:pPr>
        <w:pStyle w:val="NoSpacing"/>
        <w:rPr>
          <w:rFonts w:cs="Times New Roman"/>
          <w:b/>
          <w:sz w:val="12"/>
          <w:szCs w:val="12"/>
        </w:rPr>
      </w:pPr>
    </w:p>
    <w:tbl>
      <w:tblPr>
        <w:tblStyle w:val="TableGrid"/>
        <w:tblW w:w="0" w:type="auto"/>
        <w:tblLook w:val="04A0" w:firstRow="1" w:lastRow="0" w:firstColumn="1" w:lastColumn="0" w:noHBand="0" w:noVBand="1"/>
      </w:tblPr>
      <w:tblGrid>
        <w:gridCol w:w="5447"/>
        <w:gridCol w:w="5447"/>
      </w:tblGrid>
      <w:tr w:rsidR="00E82EB9" w:rsidRPr="000C78F5" w:rsidTr="00D17EF3">
        <w:trPr>
          <w:trHeight w:val="242"/>
        </w:trPr>
        <w:tc>
          <w:tcPr>
            <w:tcW w:w="5447" w:type="dxa"/>
          </w:tcPr>
          <w:p w:rsidR="00E82EB9" w:rsidRPr="00914D0E" w:rsidRDefault="00E82EB9" w:rsidP="00E82EB9">
            <w:pPr>
              <w:pStyle w:val="NoSpacing"/>
              <w:tabs>
                <w:tab w:val="left" w:pos="2964"/>
              </w:tabs>
              <w:jc w:val="center"/>
              <w:rPr>
                <w:rFonts w:cs="Times New Roman"/>
                <w:b/>
                <w:szCs w:val="24"/>
              </w:rPr>
            </w:pPr>
            <w:r>
              <w:rPr>
                <w:rFonts w:cs="Times New Roman"/>
                <w:b/>
                <w:szCs w:val="24"/>
              </w:rPr>
              <w:t>Buena Vista University</w:t>
            </w:r>
          </w:p>
        </w:tc>
        <w:tc>
          <w:tcPr>
            <w:tcW w:w="5447" w:type="dxa"/>
          </w:tcPr>
          <w:p w:rsidR="00E82EB9" w:rsidRPr="000D759C" w:rsidRDefault="00B92B8E" w:rsidP="00E82EB9">
            <w:pPr>
              <w:pStyle w:val="NoSpacing"/>
              <w:jc w:val="center"/>
              <w:rPr>
                <w:b/>
                <w:sz w:val="22"/>
              </w:rPr>
            </w:pPr>
            <w:r>
              <w:rPr>
                <w:b/>
                <w:sz w:val="22"/>
              </w:rPr>
              <w:t>Southeastern</w:t>
            </w:r>
            <w:r w:rsidR="00E82EB9" w:rsidRPr="007353AD">
              <w:rPr>
                <w:b/>
                <w:sz w:val="22"/>
              </w:rPr>
              <w:t xml:space="preserve"> Community College</w:t>
            </w:r>
          </w:p>
        </w:tc>
      </w:tr>
      <w:tr w:rsidR="00E82EB9" w:rsidRPr="000C78F5" w:rsidTr="00D17EF3">
        <w:trPr>
          <w:trHeight w:val="254"/>
        </w:trPr>
        <w:tc>
          <w:tcPr>
            <w:tcW w:w="5447" w:type="dxa"/>
          </w:tcPr>
          <w:p w:rsidR="00E82EB9" w:rsidRPr="00914D0E" w:rsidRDefault="00E82EB9" w:rsidP="00E82EB9">
            <w:pPr>
              <w:pStyle w:val="NoSpacing"/>
              <w:rPr>
                <w:rFonts w:cs="Times New Roman"/>
                <w:sz w:val="22"/>
              </w:rPr>
            </w:pPr>
            <w:r w:rsidRPr="00914D0E">
              <w:rPr>
                <w:rFonts w:cs="Times New Roman"/>
                <w:sz w:val="22"/>
              </w:rPr>
              <w:lastRenderedPageBreak/>
              <w:t>SEDU 365 – Reading in the Content Areas</w:t>
            </w:r>
          </w:p>
        </w:tc>
        <w:tc>
          <w:tcPr>
            <w:tcW w:w="5447" w:type="dxa"/>
          </w:tcPr>
          <w:p w:rsidR="00E82EB9" w:rsidRPr="009F2C74" w:rsidRDefault="00E82EB9" w:rsidP="00E82EB9">
            <w:pPr>
              <w:pStyle w:val="NoSpacing"/>
              <w:rPr>
                <w:rFonts w:cs="Times New Roman"/>
                <w:sz w:val="20"/>
                <w:szCs w:val="20"/>
              </w:rPr>
            </w:pPr>
            <w:r w:rsidRPr="009F2C74">
              <w:rPr>
                <w:rFonts w:cs="Times New Roman"/>
                <w:sz w:val="20"/>
                <w:szCs w:val="20"/>
              </w:rPr>
              <w:t>No offered equivalence.</w:t>
            </w:r>
          </w:p>
        </w:tc>
      </w:tr>
      <w:tr w:rsidR="00E82EB9" w:rsidRPr="000C78F5" w:rsidTr="00D17EF3">
        <w:trPr>
          <w:trHeight w:val="251"/>
        </w:trPr>
        <w:tc>
          <w:tcPr>
            <w:tcW w:w="5447" w:type="dxa"/>
          </w:tcPr>
          <w:p w:rsidR="00E82EB9" w:rsidRPr="00914D0E" w:rsidRDefault="00605555" w:rsidP="00E82EB9">
            <w:pPr>
              <w:pStyle w:val="NoSpacing"/>
              <w:rPr>
                <w:rFonts w:cs="Times New Roman"/>
                <w:sz w:val="22"/>
              </w:rPr>
            </w:pPr>
            <w:r>
              <w:rPr>
                <w:rFonts w:cs="Times New Roman"/>
                <w:sz w:val="22"/>
              </w:rPr>
              <w:t>SEDU 411 – Methods Secondary English/Language Arts</w:t>
            </w:r>
          </w:p>
        </w:tc>
        <w:tc>
          <w:tcPr>
            <w:tcW w:w="5447" w:type="dxa"/>
          </w:tcPr>
          <w:p w:rsidR="00E82EB9" w:rsidRPr="009F2C74" w:rsidRDefault="00E82EB9" w:rsidP="00E82EB9">
            <w:pPr>
              <w:pStyle w:val="NoSpacing"/>
              <w:rPr>
                <w:rFonts w:cs="Times New Roman"/>
                <w:sz w:val="20"/>
                <w:szCs w:val="20"/>
              </w:rPr>
            </w:pPr>
            <w:r w:rsidRPr="009F2C74">
              <w:rPr>
                <w:rFonts w:cs="Times New Roman"/>
                <w:sz w:val="20"/>
                <w:szCs w:val="20"/>
              </w:rPr>
              <w:t>No offered equivalence.</w:t>
            </w:r>
          </w:p>
        </w:tc>
      </w:tr>
      <w:tr w:rsidR="00605555" w:rsidRPr="000C78F5" w:rsidTr="00D17EF3">
        <w:trPr>
          <w:trHeight w:val="251"/>
        </w:trPr>
        <w:tc>
          <w:tcPr>
            <w:tcW w:w="5447" w:type="dxa"/>
          </w:tcPr>
          <w:p w:rsidR="00605555" w:rsidRPr="00914D0E" w:rsidRDefault="00605555" w:rsidP="00605555">
            <w:pPr>
              <w:pStyle w:val="NoSpacing"/>
              <w:rPr>
                <w:rFonts w:cs="Times New Roman"/>
                <w:sz w:val="22"/>
              </w:rPr>
            </w:pPr>
            <w:r w:rsidRPr="00914D0E">
              <w:rPr>
                <w:rFonts w:cs="Times New Roman"/>
                <w:sz w:val="22"/>
              </w:rPr>
              <w:t>COMM 100 – Fundamentals of Oral Communication</w:t>
            </w:r>
          </w:p>
        </w:tc>
        <w:tc>
          <w:tcPr>
            <w:tcW w:w="5447" w:type="dxa"/>
          </w:tcPr>
          <w:p w:rsidR="00605555" w:rsidRPr="00914D0E" w:rsidRDefault="00605555" w:rsidP="00605555">
            <w:pPr>
              <w:pStyle w:val="NoSpacing"/>
              <w:rPr>
                <w:rFonts w:cs="Times New Roman"/>
                <w:sz w:val="22"/>
              </w:rPr>
            </w:pPr>
            <w:r w:rsidRPr="00914D0E">
              <w:rPr>
                <w:rFonts w:cs="Times New Roman"/>
                <w:sz w:val="22"/>
              </w:rPr>
              <w:t>SPC 1</w:t>
            </w:r>
            <w:r>
              <w:rPr>
                <w:rFonts w:cs="Times New Roman"/>
                <w:sz w:val="22"/>
              </w:rPr>
              <w:t xml:space="preserve">01 </w:t>
            </w:r>
            <w:r w:rsidRPr="00605555">
              <w:rPr>
                <w:rFonts w:cs="Times New Roman"/>
                <w:i/>
                <w:sz w:val="22"/>
              </w:rPr>
              <w:t>OR</w:t>
            </w:r>
            <w:r>
              <w:rPr>
                <w:rFonts w:cs="Times New Roman"/>
                <w:sz w:val="22"/>
              </w:rPr>
              <w:t xml:space="preserve"> 112</w:t>
            </w:r>
          </w:p>
        </w:tc>
      </w:tr>
      <w:tr w:rsidR="00605555" w:rsidRPr="000C78F5" w:rsidTr="00D17EF3">
        <w:trPr>
          <w:trHeight w:val="260"/>
        </w:trPr>
        <w:tc>
          <w:tcPr>
            <w:tcW w:w="5447" w:type="dxa"/>
          </w:tcPr>
          <w:p w:rsidR="00605555" w:rsidRPr="00914D0E" w:rsidRDefault="00F50015" w:rsidP="00605555">
            <w:pPr>
              <w:pStyle w:val="NoSpacing"/>
              <w:tabs>
                <w:tab w:val="right" w:pos="4572"/>
              </w:tabs>
              <w:rPr>
                <w:rFonts w:cs="Times New Roman"/>
                <w:sz w:val="22"/>
              </w:rPr>
            </w:pPr>
            <w:r>
              <w:rPr>
                <w:rFonts w:cs="Times New Roman"/>
                <w:sz w:val="22"/>
              </w:rPr>
              <w:t>U.S. History or Government</w:t>
            </w:r>
          </w:p>
        </w:tc>
        <w:tc>
          <w:tcPr>
            <w:tcW w:w="5447" w:type="dxa"/>
          </w:tcPr>
          <w:p w:rsidR="00605555" w:rsidRPr="00914D0E" w:rsidRDefault="00F50015" w:rsidP="00605555">
            <w:pPr>
              <w:pStyle w:val="NoSpacing"/>
              <w:rPr>
                <w:rFonts w:cs="Times New Roman"/>
                <w:sz w:val="22"/>
              </w:rPr>
            </w:pPr>
            <w:r>
              <w:rPr>
                <w:rFonts w:cs="Times New Roman"/>
                <w:sz w:val="22"/>
              </w:rPr>
              <w:t xml:space="preserve">HIS 151, 152; POL 111, </w:t>
            </w:r>
            <w:r w:rsidRPr="00F50015">
              <w:rPr>
                <w:rFonts w:cs="Times New Roman"/>
                <w:i/>
                <w:sz w:val="22"/>
              </w:rPr>
              <w:t>OR</w:t>
            </w:r>
            <w:r>
              <w:rPr>
                <w:rFonts w:cs="Times New Roman"/>
                <w:sz w:val="22"/>
              </w:rPr>
              <w:t xml:space="preserve"> 112</w:t>
            </w:r>
          </w:p>
        </w:tc>
      </w:tr>
      <w:tr w:rsidR="00605555" w:rsidRPr="000C78F5" w:rsidTr="00605555">
        <w:trPr>
          <w:trHeight w:val="233"/>
        </w:trPr>
        <w:tc>
          <w:tcPr>
            <w:tcW w:w="5447" w:type="dxa"/>
          </w:tcPr>
          <w:p w:rsidR="00605555" w:rsidRPr="00914D0E" w:rsidRDefault="00605555" w:rsidP="00605555">
            <w:pPr>
              <w:pStyle w:val="NoSpacing"/>
              <w:rPr>
                <w:rFonts w:cs="Times New Roman"/>
                <w:sz w:val="22"/>
              </w:rPr>
            </w:pPr>
            <w:r w:rsidRPr="00914D0E">
              <w:rPr>
                <w:rFonts w:cs="Times New Roman"/>
                <w:sz w:val="22"/>
              </w:rPr>
              <w:t>Biology</w:t>
            </w:r>
            <w:r w:rsidRPr="00914D0E">
              <w:rPr>
                <w:rFonts w:cs="Times New Roman"/>
                <w:sz w:val="22"/>
              </w:rPr>
              <w:tab/>
            </w:r>
          </w:p>
        </w:tc>
        <w:tc>
          <w:tcPr>
            <w:tcW w:w="5447" w:type="dxa"/>
          </w:tcPr>
          <w:p w:rsidR="00605555" w:rsidRPr="00914D0E" w:rsidRDefault="00605555" w:rsidP="00605555">
            <w:pPr>
              <w:pStyle w:val="NoSpacing"/>
              <w:rPr>
                <w:rFonts w:cs="Times New Roman"/>
                <w:sz w:val="22"/>
              </w:rPr>
            </w:pPr>
            <w:r w:rsidRPr="009042CB">
              <w:rPr>
                <w:rFonts w:cs="Times New Roman"/>
                <w:sz w:val="22"/>
              </w:rPr>
              <w:t xml:space="preserve">BIO 105, 108, </w:t>
            </w:r>
            <w:r>
              <w:rPr>
                <w:rFonts w:cs="Times New Roman"/>
                <w:sz w:val="22"/>
              </w:rPr>
              <w:t xml:space="preserve">112, 113, </w:t>
            </w:r>
            <w:r w:rsidRPr="009042CB">
              <w:rPr>
                <w:rFonts w:cs="Times New Roman"/>
                <w:sz w:val="22"/>
              </w:rPr>
              <w:t>163, 180, OR 252</w:t>
            </w:r>
          </w:p>
        </w:tc>
      </w:tr>
      <w:tr w:rsidR="00605555" w:rsidRPr="000C78F5" w:rsidTr="00D17EF3">
        <w:trPr>
          <w:trHeight w:val="266"/>
        </w:trPr>
        <w:tc>
          <w:tcPr>
            <w:tcW w:w="5447" w:type="dxa"/>
          </w:tcPr>
          <w:p w:rsidR="00605555" w:rsidRPr="00914D0E" w:rsidRDefault="00605555" w:rsidP="00605555">
            <w:pPr>
              <w:pStyle w:val="NoSpacing"/>
              <w:rPr>
                <w:rFonts w:cs="Times New Roman"/>
                <w:sz w:val="22"/>
              </w:rPr>
            </w:pPr>
            <w:r w:rsidRPr="00914D0E">
              <w:rPr>
                <w:rFonts w:cs="Times New Roman"/>
                <w:sz w:val="22"/>
              </w:rPr>
              <w:t>Physical Science</w:t>
            </w:r>
          </w:p>
        </w:tc>
        <w:tc>
          <w:tcPr>
            <w:tcW w:w="5447" w:type="dxa"/>
          </w:tcPr>
          <w:p w:rsidR="00605555" w:rsidRDefault="00605555" w:rsidP="00605555">
            <w:pPr>
              <w:pStyle w:val="NoSpacing"/>
              <w:rPr>
                <w:i/>
                <w:sz w:val="22"/>
              </w:rPr>
            </w:pPr>
            <w:r>
              <w:rPr>
                <w:sz w:val="22"/>
              </w:rPr>
              <w:t xml:space="preserve">CHM </w:t>
            </w:r>
            <w:r w:rsidRPr="000B7322">
              <w:rPr>
                <w:color w:val="000000" w:themeColor="text1"/>
                <w:sz w:val="22"/>
              </w:rPr>
              <w:t>122, 165</w:t>
            </w:r>
            <w:r>
              <w:rPr>
                <w:sz w:val="22"/>
              </w:rPr>
              <w:t>, 175; BIO 109;</w:t>
            </w:r>
          </w:p>
          <w:p w:rsidR="00605555" w:rsidRPr="00914D0E" w:rsidRDefault="00605555" w:rsidP="00605555">
            <w:pPr>
              <w:pStyle w:val="NoSpacing"/>
              <w:rPr>
                <w:i/>
                <w:sz w:val="22"/>
              </w:rPr>
            </w:pPr>
            <w:r w:rsidRPr="004472B2">
              <w:rPr>
                <w:sz w:val="22"/>
              </w:rPr>
              <w:t>PHY</w:t>
            </w:r>
            <w:r w:rsidRPr="004472B2">
              <w:rPr>
                <w:color w:val="FF0000"/>
                <w:sz w:val="22"/>
              </w:rPr>
              <w:t xml:space="preserve"> </w:t>
            </w:r>
            <w:r w:rsidRPr="000B7322">
              <w:rPr>
                <w:color w:val="000000" w:themeColor="text1"/>
                <w:sz w:val="22"/>
              </w:rPr>
              <w:t xml:space="preserve">106, </w:t>
            </w:r>
            <w:r>
              <w:rPr>
                <w:sz w:val="22"/>
              </w:rPr>
              <w:t>160</w:t>
            </w:r>
            <w:r w:rsidR="00F50015">
              <w:rPr>
                <w:sz w:val="22"/>
              </w:rPr>
              <w:t xml:space="preserve">, </w:t>
            </w:r>
            <w:r>
              <w:rPr>
                <w:sz w:val="22"/>
              </w:rPr>
              <w:t>212</w:t>
            </w:r>
            <w:r w:rsidRPr="004472B2">
              <w:rPr>
                <w:sz w:val="22"/>
              </w:rPr>
              <w:t xml:space="preserve">, </w:t>
            </w:r>
            <w:r w:rsidRPr="004472B2">
              <w:rPr>
                <w:i/>
                <w:sz w:val="22"/>
              </w:rPr>
              <w:t>OR</w:t>
            </w:r>
            <w:r>
              <w:rPr>
                <w:sz w:val="22"/>
              </w:rPr>
              <w:t xml:space="preserve"> 222</w:t>
            </w:r>
            <w:r>
              <w:rPr>
                <w:sz w:val="22"/>
              </w:rPr>
              <w:t xml:space="preserve">, 161, </w:t>
            </w:r>
          </w:p>
        </w:tc>
      </w:tr>
    </w:tbl>
    <w:p w:rsidR="00E90052" w:rsidRDefault="00E90052" w:rsidP="00904944">
      <w:pPr>
        <w:pStyle w:val="NoSpacing"/>
        <w:rPr>
          <w:b/>
          <w:sz w:val="20"/>
          <w:szCs w:val="20"/>
        </w:rPr>
      </w:pPr>
    </w:p>
    <w:p w:rsidR="00C26126" w:rsidRPr="00330530" w:rsidRDefault="0047297B" w:rsidP="00904944">
      <w:pPr>
        <w:pStyle w:val="NoSpacing"/>
        <w:rPr>
          <w:b/>
          <w:sz w:val="22"/>
        </w:rPr>
      </w:pPr>
      <w:r w:rsidRPr="00330530">
        <w:rPr>
          <w:b/>
          <w:sz w:val="22"/>
        </w:rPr>
        <w:t xml:space="preserve">Additional </w:t>
      </w:r>
      <w:r w:rsidR="00C26126" w:rsidRPr="00330530">
        <w:rPr>
          <w:b/>
          <w:sz w:val="22"/>
        </w:rPr>
        <w:t>Support Work:</w:t>
      </w:r>
    </w:p>
    <w:p w:rsidR="00E90052" w:rsidRPr="0027582E" w:rsidRDefault="00E90052" w:rsidP="00904944">
      <w:pPr>
        <w:pStyle w:val="NoSpacing"/>
        <w:rPr>
          <w:b/>
          <w:sz w:val="12"/>
          <w:szCs w:val="12"/>
        </w:rPr>
      </w:pPr>
    </w:p>
    <w:tbl>
      <w:tblPr>
        <w:tblStyle w:val="TableGrid"/>
        <w:tblW w:w="0" w:type="auto"/>
        <w:tblLook w:val="04A0" w:firstRow="1" w:lastRow="0" w:firstColumn="1" w:lastColumn="0" w:noHBand="0" w:noVBand="1"/>
      </w:tblPr>
      <w:tblGrid>
        <w:gridCol w:w="5453"/>
        <w:gridCol w:w="5453"/>
      </w:tblGrid>
      <w:tr w:rsidR="00DA588D" w:rsidRPr="00637E58" w:rsidTr="00D17EF3">
        <w:trPr>
          <w:trHeight w:val="259"/>
        </w:trPr>
        <w:tc>
          <w:tcPr>
            <w:tcW w:w="5453" w:type="dxa"/>
          </w:tcPr>
          <w:p w:rsidR="00DA588D" w:rsidRPr="00C40F59" w:rsidRDefault="00DA588D" w:rsidP="00904944">
            <w:pPr>
              <w:pStyle w:val="NoSpacing"/>
              <w:rPr>
                <w:sz w:val="22"/>
              </w:rPr>
            </w:pPr>
            <w:r w:rsidRPr="00C40F59">
              <w:rPr>
                <w:sz w:val="22"/>
              </w:rPr>
              <w:t>SEDU 333 – Young Adult Fiction and Nonfiction</w:t>
            </w:r>
          </w:p>
        </w:tc>
        <w:tc>
          <w:tcPr>
            <w:tcW w:w="5453" w:type="dxa"/>
          </w:tcPr>
          <w:p w:rsidR="00DA588D" w:rsidRPr="00330530" w:rsidRDefault="00DA588D" w:rsidP="00900E2D">
            <w:pPr>
              <w:pStyle w:val="NoSpacing"/>
              <w:rPr>
                <w:rFonts w:cs="Times New Roman"/>
                <w:i/>
                <w:sz w:val="22"/>
              </w:rPr>
            </w:pPr>
            <w:r w:rsidRPr="00330530">
              <w:rPr>
                <w:rFonts w:cs="Times New Roman"/>
                <w:i/>
                <w:sz w:val="22"/>
              </w:rPr>
              <w:t>No offered equivalence.</w:t>
            </w:r>
          </w:p>
        </w:tc>
      </w:tr>
      <w:tr w:rsidR="00DA588D" w:rsidRPr="00637E58" w:rsidTr="00D17EF3">
        <w:trPr>
          <w:trHeight w:val="215"/>
        </w:trPr>
        <w:tc>
          <w:tcPr>
            <w:tcW w:w="5453" w:type="dxa"/>
          </w:tcPr>
          <w:p w:rsidR="00DA588D" w:rsidRPr="00C40F59" w:rsidRDefault="00DA588D" w:rsidP="00904944">
            <w:pPr>
              <w:pStyle w:val="NoSpacing"/>
              <w:rPr>
                <w:sz w:val="22"/>
              </w:rPr>
            </w:pPr>
            <w:r w:rsidRPr="00C40F59">
              <w:rPr>
                <w:sz w:val="22"/>
              </w:rPr>
              <w:t>SEDU 454 – Reading Strategies and Instructional Methods</w:t>
            </w:r>
          </w:p>
        </w:tc>
        <w:tc>
          <w:tcPr>
            <w:tcW w:w="5453" w:type="dxa"/>
          </w:tcPr>
          <w:p w:rsidR="00DA588D" w:rsidRPr="00330530" w:rsidRDefault="00DA588D" w:rsidP="00900E2D">
            <w:pPr>
              <w:pStyle w:val="NoSpacing"/>
              <w:rPr>
                <w:rFonts w:cs="Times New Roman"/>
                <w:i/>
                <w:sz w:val="22"/>
              </w:rPr>
            </w:pPr>
            <w:r w:rsidRPr="00330530">
              <w:rPr>
                <w:rFonts w:cs="Times New Roman"/>
                <w:i/>
                <w:sz w:val="22"/>
              </w:rPr>
              <w:t>No offered equivalence.</w:t>
            </w:r>
          </w:p>
        </w:tc>
      </w:tr>
    </w:tbl>
    <w:p w:rsidR="001C77B9" w:rsidRDefault="001C77B9" w:rsidP="00E90052">
      <w:pPr>
        <w:pStyle w:val="NoSpacing"/>
        <w:rPr>
          <w:rFonts w:cs="Times New Roman"/>
          <w:sz w:val="20"/>
          <w:szCs w:val="20"/>
        </w:rPr>
      </w:pPr>
    </w:p>
    <w:p w:rsidR="00E82EB9" w:rsidRDefault="00E82EB9" w:rsidP="00E82EB9">
      <w:pPr>
        <w:pStyle w:val="NoSpacing"/>
        <w:rPr>
          <w:szCs w:val="24"/>
        </w:rPr>
      </w:pPr>
      <w:r w:rsidRPr="000A4F99">
        <w:rPr>
          <w:szCs w:val="24"/>
        </w:rPr>
        <w:t>All education majors are required to complete 12 credit hours of student teaching. Stude</w:t>
      </w:r>
      <w:r>
        <w:rPr>
          <w:szCs w:val="24"/>
        </w:rPr>
        <w:t>nt teaching involves being in a secondary</w:t>
      </w:r>
      <w:r w:rsidRPr="000A4F99">
        <w:rPr>
          <w:szCs w:val="24"/>
        </w:rPr>
        <w:t xml:space="preserve"> classroom on a daily basis for at least 16</w:t>
      </w:r>
      <w:r>
        <w:rPr>
          <w:szCs w:val="24"/>
        </w:rPr>
        <w:t xml:space="preserve"> consecutive weeks. A secondary </w:t>
      </w:r>
      <w:r w:rsidRPr="000A4F99">
        <w:rPr>
          <w:szCs w:val="24"/>
        </w:rPr>
        <w:t xml:space="preserve">education </w:t>
      </w:r>
      <w:r>
        <w:rPr>
          <w:szCs w:val="24"/>
        </w:rPr>
        <w:t xml:space="preserve">certificate </w:t>
      </w:r>
      <w:r w:rsidRPr="000A4F99">
        <w:rPr>
          <w:szCs w:val="24"/>
        </w:rPr>
        <w:t xml:space="preserve">offers the professional courses required for licensure in </w:t>
      </w:r>
      <w:r>
        <w:rPr>
          <w:szCs w:val="24"/>
        </w:rPr>
        <w:t>secondary</w:t>
      </w:r>
      <w:r w:rsidRPr="000A4F99">
        <w:rPr>
          <w:szCs w:val="24"/>
        </w:rPr>
        <w:t xml:space="preserve"> education</w:t>
      </w:r>
      <w:r>
        <w:rPr>
          <w:szCs w:val="24"/>
        </w:rPr>
        <w:t>.</w:t>
      </w:r>
      <w:r w:rsidRPr="000A4F99">
        <w:rPr>
          <w:szCs w:val="24"/>
        </w:rPr>
        <w:t xml:space="preserve"> </w:t>
      </w:r>
      <w:r>
        <w:rPr>
          <w:szCs w:val="24"/>
        </w:rPr>
        <w:t xml:space="preserve"> </w:t>
      </w:r>
    </w:p>
    <w:p w:rsidR="00E82EB9" w:rsidRDefault="00E82EB9" w:rsidP="00E82EB9">
      <w:pPr>
        <w:pStyle w:val="NoSpacing"/>
        <w:rPr>
          <w:b/>
        </w:rPr>
      </w:pPr>
    </w:p>
    <w:p w:rsidR="00B92B8E" w:rsidRPr="004D53A2" w:rsidRDefault="00B92B8E" w:rsidP="00B92B8E">
      <w:pPr>
        <w:pStyle w:val="NoSpacing"/>
        <w:rPr>
          <w:i/>
          <w:szCs w:val="24"/>
        </w:rPr>
      </w:pPr>
      <w:r w:rsidRPr="00526539">
        <w:rPr>
          <w:i/>
          <w:szCs w:val="24"/>
        </w:rPr>
        <w:t>Students must earn a minimum of 12 credit hours at the 300/400 level in their major from Buena Vista University. All transcripts will be evaluated on an individual basis. If questions should arise, please contact BVU Graduate &amp; Professional Studie</w:t>
      </w:r>
      <w:r>
        <w:rPr>
          <w:i/>
          <w:szCs w:val="24"/>
        </w:rPr>
        <w:t>s West Burlington Site at (712) 749-1980. 1500 W. Agency Rd. Room 511, West Burlington, IA 52655</w:t>
      </w:r>
    </w:p>
    <w:p w:rsidR="00B92B8E" w:rsidRDefault="00B92B8E" w:rsidP="00E82EB9">
      <w:pPr>
        <w:pStyle w:val="NoSpacing"/>
        <w:rPr>
          <w:b/>
        </w:rPr>
      </w:pPr>
    </w:p>
    <w:sectPr w:rsidR="00B92B8E" w:rsidSect="00D17E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263DF"/>
    <w:multiLevelType w:val="hybridMultilevel"/>
    <w:tmpl w:val="3EB4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D1"/>
    <w:rsid w:val="000B7322"/>
    <w:rsid w:val="000C78F5"/>
    <w:rsid w:val="00112093"/>
    <w:rsid w:val="00150789"/>
    <w:rsid w:val="001C77B9"/>
    <w:rsid w:val="001D57A1"/>
    <w:rsid w:val="001E5E23"/>
    <w:rsid w:val="0027582E"/>
    <w:rsid w:val="002C612E"/>
    <w:rsid w:val="002D5257"/>
    <w:rsid w:val="002F29B4"/>
    <w:rsid w:val="00330530"/>
    <w:rsid w:val="00357B62"/>
    <w:rsid w:val="004063EB"/>
    <w:rsid w:val="00444268"/>
    <w:rsid w:val="0047297B"/>
    <w:rsid w:val="004E58D5"/>
    <w:rsid w:val="005270B8"/>
    <w:rsid w:val="005430D5"/>
    <w:rsid w:val="0056318F"/>
    <w:rsid w:val="00605555"/>
    <w:rsid w:val="00637E58"/>
    <w:rsid w:val="00674D39"/>
    <w:rsid w:val="00680C08"/>
    <w:rsid w:val="00696D13"/>
    <w:rsid w:val="00703CD1"/>
    <w:rsid w:val="0078507D"/>
    <w:rsid w:val="009042CB"/>
    <w:rsid w:val="00904944"/>
    <w:rsid w:val="009E6C75"/>
    <w:rsid w:val="00A80722"/>
    <w:rsid w:val="00A84D7A"/>
    <w:rsid w:val="00AB2D8C"/>
    <w:rsid w:val="00B167BC"/>
    <w:rsid w:val="00B854A2"/>
    <w:rsid w:val="00B92B8E"/>
    <w:rsid w:val="00C26126"/>
    <w:rsid w:val="00C40F59"/>
    <w:rsid w:val="00D17EF3"/>
    <w:rsid w:val="00DA588D"/>
    <w:rsid w:val="00E82EB9"/>
    <w:rsid w:val="00E851FA"/>
    <w:rsid w:val="00E90052"/>
    <w:rsid w:val="00EF45AF"/>
    <w:rsid w:val="00F5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82E22-F8F4-49B6-9A55-2D4D6ED1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A84D7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268"/>
    <w:pPr>
      <w:spacing w:after="0" w:line="240" w:lineRule="auto"/>
    </w:pPr>
    <w:rPr>
      <w:rFonts w:ascii="Times New Roman" w:hAnsi="Times New Roman"/>
      <w:sz w:val="24"/>
    </w:rPr>
  </w:style>
  <w:style w:type="table" w:styleId="TableGrid">
    <w:name w:val="Table Grid"/>
    <w:basedOn w:val="TableNormal"/>
    <w:uiPriority w:val="59"/>
    <w:rsid w:val="00703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B8E"/>
    <w:rPr>
      <w:rFonts w:ascii="Tahoma" w:hAnsi="Tahoma" w:cs="Tahoma"/>
      <w:sz w:val="16"/>
      <w:szCs w:val="16"/>
    </w:rPr>
  </w:style>
  <w:style w:type="character" w:customStyle="1" w:styleId="BalloonTextChar">
    <w:name w:val="Balloon Text Char"/>
    <w:basedOn w:val="DefaultParagraphFont"/>
    <w:link w:val="BalloonText"/>
    <w:uiPriority w:val="99"/>
    <w:semiHidden/>
    <w:rsid w:val="00B92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Buena Vista University</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Morad</dc:creator>
  <cp:lastModifiedBy>Renee McLaughlin</cp:lastModifiedBy>
  <cp:revision>15</cp:revision>
  <cp:lastPrinted>2015-04-07T17:18:00Z</cp:lastPrinted>
  <dcterms:created xsi:type="dcterms:W3CDTF">2015-08-11T20:49:00Z</dcterms:created>
  <dcterms:modified xsi:type="dcterms:W3CDTF">2016-02-08T17:20:00Z</dcterms:modified>
</cp:coreProperties>
</file>