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AB" w:rsidRDefault="003506AB" w:rsidP="009D6754">
      <w:pPr>
        <w:tabs>
          <w:tab w:val="left" w:pos="4680"/>
        </w:tabs>
        <w:jc w:val="center"/>
        <w:rPr>
          <w:b/>
          <w:sz w:val="28"/>
          <w:szCs w:val="28"/>
        </w:rPr>
      </w:pPr>
      <w:r>
        <w:rPr>
          <w:noProof/>
        </w:rPr>
        <w:drawing>
          <wp:inline distT="0" distB="0" distL="0" distR="0" wp14:anchorId="43BFB732" wp14:editId="2CE3CCEF">
            <wp:extent cx="2956560" cy="802005"/>
            <wp:effectExtent l="0" t="0" r="0" b="0"/>
            <wp:docPr id="1" name="Picture 1" descr="C:\Users\mclaughlinr\Desktop\Marketing Material\BVU GPS 289.jpg"/>
            <wp:cNvGraphicFramePr/>
            <a:graphic xmlns:a="http://schemas.openxmlformats.org/drawingml/2006/main">
              <a:graphicData uri="http://schemas.openxmlformats.org/drawingml/2006/picture">
                <pic:pic xmlns:pic="http://schemas.openxmlformats.org/drawingml/2006/picture">
                  <pic:nvPicPr>
                    <pic:cNvPr id="1" name="Picture 1" descr="C:\Users\mclaughlinr\Desktop\Marketing Material\BVU GPS 289.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560" cy="802005"/>
                    </a:xfrm>
                    <a:prstGeom prst="rect">
                      <a:avLst/>
                    </a:prstGeom>
                    <a:noFill/>
                    <a:ln>
                      <a:noFill/>
                    </a:ln>
                  </pic:spPr>
                </pic:pic>
              </a:graphicData>
            </a:graphic>
          </wp:inline>
        </w:drawing>
      </w:r>
    </w:p>
    <w:p w:rsidR="003506AB" w:rsidRDefault="003506AB" w:rsidP="00331195">
      <w:pPr>
        <w:jc w:val="center"/>
        <w:rPr>
          <w:b/>
          <w:sz w:val="28"/>
          <w:szCs w:val="28"/>
        </w:rPr>
      </w:pPr>
    </w:p>
    <w:p w:rsidR="00C6427B" w:rsidRDefault="00C6427B" w:rsidP="00331195">
      <w:pPr>
        <w:jc w:val="center"/>
        <w:rPr>
          <w:b/>
          <w:sz w:val="28"/>
          <w:szCs w:val="28"/>
        </w:rPr>
      </w:pPr>
      <w:r w:rsidRPr="00C6427B">
        <w:rPr>
          <w:b/>
          <w:sz w:val="28"/>
          <w:szCs w:val="28"/>
        </w:rPr>
        <w:t>Special Education Endorsement</w:t>
      </w:r>
      <w:r w:rsidR="00331195">
        <w:rPr>
          <w:b/>
          <w:sz w:val="28"/>
          <w:szCs w:val="28"/>
        </w:rPr>
        <w:t xml:space="preserve"> (</w:t>
      </w:r>
      <w:r w:rsidR="00331195" w:rsidRPr="00AB5ECD">
        <w:rPr>
          <w:b/>
          <w:sz w:val="28"/>
          <w:szCs w:val="28"/>
        </w:rPr>
        <w:t>K – 8</w:t>
      </w:r>
      <w:r w:rsidR="00331195" w:rsidRPr="00996358">
        <w:rPr>
          <w:b/>
          <w:sz w:val="28"/>
          <w:szCs w:val="28"/>
          <w:vertAlign w:val="superscript"/>
        </w:rPr>
        <w:t>th</w:t>
      </w:r>
      <w:r w:rsidR="00331195">
        <w:rPr>
          <w:b/>
          <w:sz w:val="28"/>
          <w:szCs w:val="28"/>
        </w:rPr>
        <w:t xml:space="preserve"> grade)</w:t>
      </w:r>
      <w:r w:rsidR="00331195" w:rsidRPr="00AB5ECD">
        <w:rPr>
          <w:b/>
          <w:sz w:val="28"/>
          <w:szCs w:val="28"/>
        </w:rPr>
        <w:t xml:space="preserve"> and </w:t>
      </w:r>
      <w:r w:rsidR="00331195">
        <w:rPr>
          <w:b/>
          <w:sz w:val="28"/>
          <w:szCs w:val="28"/>
        </w:rPr>
        <w:t>(</w:t>
      </w:r>
      <w:r w:rsidR="00331195" w:rsidRPr="00AB5ECD">
        <w:rPr>
          <w:b/>
          <w:sz w:val="28"/>
          <w:szCs w:val="28"/>
        </w:rPr>
        <w:t>5</w:t>
      </w:r>
      <w:r w:rsidR="00331195" w:rsidRPr="00996358">
        <w:rPr>
          <w:b/>
          <w:sz w:val="28"/>
          <w:szCs w:val="28"/>
          <w:vertAlign w:val="superscript"/>
        </w:rPr>
        <w:t>th</w:t>
      </w:r>
      <w:r w:rsidR="00331195">
        <w:rPr>
          <w:b/>
          <w:sz w:val="28"/>
          <w:szCs w:val="28"/>
        </w:rPr>
        <w:t xml:space="preserve"> </w:t>
      </w:r>
      <w:r w:rsidR="00331195" w:rsidRPr="00AB5ECD">
        <w:rPr>
          <w:b/>
          <w:sz w:val="28"/>
          <w:szCs w:val="28"/>
        </w:rPr>
        <w:t>– 12</w:t>
      </w:r>
      <w:r w:rsidR="00331195" w:rsidRPr="00996358">
        <w:rPr>
          <w:b/>
          <w:sz w:val="28"/>
          <w:szCs w:val="28"/>
          <w:vertAlign w:val="superscript"/>
        </w:rPr>
        <w:t>th</w:t>
      </w:r>
      <w:r w:rsidR="00331195">
        <w:rPr>
          <w:b/>
          <w:sz w:val="28"/>
          <w:szCs w:val="28"/>
        </w:rPr>
        <w:t xml:space="preserve"> grades)</w:t>
      </w:r>
    </w:p>
    <w:p w:rsidR="00331195" w:rsidRPr="00331195" w:rsidRDefault="00331195" w:rsidP="00331195">
      <w:pPr>
        <w:pStyle w:val="NoSpacing"/>
      </w:pPr>
    </w:p>
    <w:p w:rsidR="00AE7853" w:rsidRDefault="00AE7853" w:rsidP="00AE7853">
      <w:pPr>
        <w:pStyle w:val="NoSpacing"/>
        <w:spacing w:line="216" w:lineRule="auto"/>
      </w:pPr>
      <w:r>
        <w:t xml:space="preserve">Buena Vista University Graduate &amp; Professional Studies is exclusively for students seeking to complete degrees begun elsewhere. We facilitate the smooth transfer of credits from Southeastern Community College. This advising guide is effective for students entering BVU in the 2015-16 academic years. As course and degree requirements change, students are encouraged to consult with BVU personnel. </w:t>
      </w:r>
    </w:p>
    <w:p w:rsidR="00C6427B" w:rsidRDefault="00C6427B" w:rsidP="00C6427B">
      <w:pPr>
        <w:pStyle w:val="NoSpacing"/>
        <w:rPr>
          <w:sz w:val="22"/>
        </w:rPr>
      </w:pPr>
    </w:p>
    <w:p w:rsidR="00331195" w:rsidRDefault="00810784" w:rsidP="00331195">
      <w:pPr>
        <w:pStyle w:val="NoSpacing"/>
        <w:rPr>
          <w:b/>
        </w:rPr>
      </w:pPr>
      <w:r>
        <w:rPr>
          <w:b/>
        </w:rPr>
        <w:t>Special Education Endorsement</w:t>
      </w:r>
      <w:r w:rsidR="00331195">
        <w:rPr>
          <w:b/>
        </w:rPr>
        <w:t xml:space="preserve"> (</w:t>
      </w:r>
      <w:r w:rsidR="00331195" w:rsidRPr="00AB3B16">
        <w:rPr>
          <w:b/>
        </w:rPr>
        <w:t>Grades K – 8)</w:t>
      </w:r>
    </w:p>
    <w:p w:rsidR="00331195" w:rsidRDefault="00331195" w:rsidP="00331195">
      <w:pPr>
        <w:pStyle w:val="NoSpacing"/>
      </w:pPr>
      <w:r>
        <w:rPr>
          <w:szCs w:val="24"/>
        </w:rPr>
        <w:t xml:space="preserve">The </w:t>
      </w:r>
      <w:r w:rsidR="00810784">
        <w:rPr>
          <w:szCs w:val="24"/>
        </w:rPr>
        <w:t>Special Education</w:t>
      </w:r>
      <w:r>
        <w:rPr>
          <w:szCs w:val="24"/>
        </w:rPr>
        <w:t xml:space="preserve"> Endorsement must be accompanied by certification as elementary teacher licensure. </w:t>
      </w:r>
    </w:p>
    <w:p w:rsidR="00331195" w:rsidRPr="00810784" w:rsidRDefault="00810784" w:rsidP="00C6427B">
      <w:pPr>
        <w:pStyle w:val="NoSpacing"/>
        <w:rPr>
          <w:sz w:val="12"/>
          <w:szCs w:val="12"/>
        </w:rPr>
      </w:pPr>
      <w:r w:rsidRPr="00810784">
        <w:rPr>
          <w:sz w:val="12"/>
          <w:szCs w:val="12"/>
        </w:rPr>
        <w:t xml:space="preserve"> </w:t>
      </w:r>
    </w:p>
    <w:tbl>
      <w:tblPr>
        <w:tblStyle w:val="TableGrid"/>
        <w:tblW w:w="0" w:type="auto"/>
        <w:tblLook w:val="04A0" w:firstRow="1" w:lastRow="0" w:firstColumn="1" w:lastColumn="0" w:noHBand="0" w:noVBand="1"/>
      </w:tblPr>
      <w:tblGrid>
        <w:gridCol w:w="5598"/>
        <w:gridCol w:w="5212"/>
      </w:tblGrid>
      <w:tr w:rsidR="00C6427B" w:rsidTr="00A74C66">
        <w:trPr>
          <w:trHeight w:val="242"/>
        </w:trPr>
        <w:tc>
          <w:tcPr>
            <w:tcW w:w="5598" w:type="dxa"/>
          </w:tcPr>
          <w:p w:rsidR="00C6427B" w:rsidRPr="00331195" w:rsidRDefault="00C6427B" w:rsidP="00331195">
            <w:pPr>
              <w:pStyle w:val="NoSpacing"/>
              <w:jc w:val="center"/>
              <w:rPr>
                <w:b/>
                <w:sz w:val="22"/>
              </w:rPr>
            </w:pPr>
            <w:r w:rsidRPr="00331195">
              <w:rPr>
                <w:b/>
                <w:sz w:val="22"/>
              </w:rPr>
              <w:t>Buena Vista University</w:t>
            </w:r>
          </w:p>
        </w:tc>
        <w:tc>
          <w:tcPr>
            <w:tcW w:w="5212" w:type="dxa"/>
          </w:tcPr>
          <w:p w:rsidR="00C6427B" w:rsidRPr="00331195" w:rsidRDefault="00AE7853" w:rsidP="00331195">
            <w:pPr>
              <w:pStyle w:val="NoSpacing"/>
              <w:jc w:val="center"/>
              <w:rPr>
                <w:b/>
                <w:sz w:val="22"/>
              </w:rPr>
            </w:pPr>
            <w:r>
              <w:rPr>
                <w:b/>
                <w:sz w:val="22"/>
              </w:rPr>
              <w:t>Southeastern</w:t>
            </w:r>
            <w:r w:rsidR="009173C1" w:rsidRPr="007353AD">
              <w:rPr>
                <w:b/>
                <w:sz w:val="22"/>
              </w:rPr>
              <w:t xml:space="preserve"> Community College</w:t>
            </w:r>
          </w:p>
        </w:tc>
      </w:tr>
      <w:tr w:rsidR="00C6427B" w:rsidTr="00A74C66">
        <w:trPr>
          <w:trHeight w:val="485"/>
        </w:trPr>
        <w:tc>
          <w:tcPr>
            <w:tcW w:w="5598" w:type="dxa"/>
          </w:tcPr>
          <w:p w:rsidR="00C6427B" w:rsidRDefault="00C6427B" w:rsidP="00C6427B">
            <w:pPr>
              <w:pStyle w:val="NoSpacing"/>
              <w:rPr>
                <w:sz w:val="22"/>
              </w:rPr>
            </w:pPr>
            <w:r>
              <w:rPr>
                <w:sz w:val="22"/>
              </w:rPr>
              <w:t>EDCO 300 – Differentiated Instruction for Exceptional Learners</w:t>
            </w:r>
          </w:p>
        </w:tc>
        <w:tc>
          <w:tcPr>
            <w:tcW w:w="5212" w:type="dxa"/>
          </w:tcPr>
          <w:p w:rsidR="00C6427B" w:rsidRPr="003506AB" w:rsidRDefault="00267793" w:rsidP="00331195">
            <w:pPr>
              <w:pStyle w:val="NoSpacing"/>
              <w:rPr>
                <w:sz w:val="22"/>
              </w:rPr>
            </w:pPr>
            <w:r>
              <w:rPr>
                <w:sz w:val="22"/>
                <w:szCs w:val="20"/>
              </w:rPr>
              <w:t>EDU 247 – Teaching Exceptional Learners</w:t>
            </w:r>
          </w:p>
        </w:tc>
      </w:tr>
      <w:tr w:rsidR="00810784" w:rsidTr="00A74C66">
        <w:trPr>
          <w:trHeight w:val="242"/>
        </w:trPr>
        <w:tc>
          <w:tcPr>
            <w:tcW w:w="5598" w:type="dxa"/>
          </w:tcPr>
          <w:p w:rsidR="00810784" w:rsidRDefault="00810784" w:rsidP="00810784">
            <w:pPr>
              <w:pStyle w:val="NoSpacing"/>
              <w:rPr>
                <w:sz w:val="22"/>
              </w:rPr>
            </w:pPr>
            <w:bookmarkStart w:id="0" w:name="_GoBack"/>
            <w:bookmarkEnd w:id="0"/>
            <w:r>
              <w:rPr>
                <w:sz w:val="22"/>
              </w:rPr>
              <w:t>EDUC 317 – Foundations of Literacy</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215"/>
        </w:trPr>
        <w:tc>
          <w:tcPr>
            <w:tcW w:w="5598" w:type="dxa"/>
          </w:tcPr>
          <w:p w:rsidR="00810784" w:rsidRDefault="00810784" w:rsidP="00810784">
            <w:pPr>
              <w:pStyle w:val="NoSpacing"/>
              <w:rPr>
                <w:sz w:val="22"/>
              </w:rPr>
            </w:pPr>
            <w:r>
              <w:rPr>
                <w:sz w:val="22"/>
              </w:rPr>
              <w:t>EDUC 371 – Methods of Data – Driven Literacy Instruction</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485"/>
        </w:trPr>
        <w:tc>
          <w:tcPr>
            <w:tcW w:w="5598" w:type="dxa"/>
          </w:tcPr>
          <w:p w:rsidR="00810784" w:rsidRDefault="00A375B9" w:rsidP="00810784">
            <w:pPr>
              <w:pStyle w:val="NoSpacing"/>
              <w:rPr>
                <w:sz w:val="22"/>
              </w:rPr>
            </w:pPr>
            <w:r>
              <w:rPr>
                <w:sz w:val="22"/>
              </w:rPr>
              <w:t>EDUC 393 – Elementary Math Methods and Field Experience</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485"/>
        </w:trPr>
        <w:tc>
          <w:tcPr>
            <w:tcW w:w="5598" w:type="dxa"/>
          </w:tcPr>
          <w:p w:rsidR="00810784" w:rsidRDefault="00A375B9" w:rsidP="00810784">
            <w:pPr>
              <w:pStyle w:val="NoSpacing"/>
              <w:rPr>
                <w:sz w:val="22"/>
              </w:rPr>
            </w:pPr>
            <w:r>
              <w:rPr>
                <w:sz w:val="22"/>
              </w:rPr>
              <w:t>ESSI 210 – Special Education Law and Professional Practices</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485"/>
        </w:trPr>
        <w:tc>
          <w:tcPr>
            <w:tcW w:w="5598" w:type="dxa"/>
          </w:tcPr>
          <w:p w:rsidR="00810784" w:rsidRDefault="00A375B9" w:rsidP="00810784">
            <w:pPr>
              <w:pStyle w:val="NoSpacing"/>
              <w:rPr>
                <w:sz w:val="22"/>
              </w:rPr>
            </w:pPr>
            <w:r>
              <w:rPr>
                <w:sz w:val="22"/>
              </w:rPr>
              <w:t>ESSI 220 – Multidisciplinary Assessment and Evaluation</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485"/>
        </w:trPr>
        <w:tc>
          <w:tcPr>
            <w:tcW w:w="5598" w:type="dxa"/>
          </w:tcPr>
          <w:p w:rsidR="00810784" w:rsidRDefault="00A375B9" w:rsidP="00810784">
            <w:pPr>
              <w:pStyle w:val="NoSpacing"/>
              <w:rPr>
                <w:sz w:val="22"/>
              </w:rPr>
            </w:pPr>
            <w:r>
              <w:rPr>
                <w:sz w:val="22"/>
              </w:rPr>
              <w:t>ESSI 229 – Self-Determination &amp; Person-Centered Planning</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485"/>
        </w:trPr>
        <w:tc>
          <w:tcPr>
            <w:tcW w:w="5598" w:type="dxa"/>
          </w:tcPr>
          <w:p w:rsidR="00810784" w:rsidRDefault="00E564F6" w:rsidP="00810784">
            <w:pPr>
              <w:pStyle w:val="NoSpacing"/>
              <w:rPr>
                <w:sz w:val="22"/>
              </w:rPr>
            </w:pPr>
            <w:r>
              <w:rPr>
                <w:sz w:val="22"/>
              </w:rPr>
              <w:t>ESSI 291 – Professional Seminar II: Supervised Participation in Special Education</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179"/>
        </w:trPr>
        <w:tc>
          <w:tcPr>
            <w:tcW w:w="5598" w:type="dxa"/>
          </w:tcPr>
          <w:p w:rsidR="00810784" w:rsidRDefault="00E564F6" w:rsidP="00810784">
            <w:pPr>
              <w:pStyle w:val="NoSpacing"/>
              <w:rPr>
                <w:sz w:val="22"/>
              </w:rPr>
            </w:pPr>
            <w:r>
              <w:rPr>
                <w:sz w:val="22"/>
              </w:rPr>
              <w:t xml:space="preserve">ESSI 303 – Curriculum Development and Instruction </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242"/>
        </w:trPr>
        <w:tc>
          <w:tcPr>
            <w:tcW w:w="5598" w:type="dxa"/>
          </w:tcPr>
          <w:p w:rsidR="00810784" w:rsidRDefault="00E564F6" w:rsidP="00810784">
            <w:pPr>
              <w:pStyle w:val="NoSpacing"/>
              <w:rPr>
                <w:sz w:val="22"/>
              </w:rPr>
            </w:pPr>
            <w:r>
              <w:rPr>
                <w:sz w:val="22"/>
              </w:rPr>
              <w:t>ESSI 310 – Behavior and Classroom Management</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r w:rsidR="00810784" w:rsidTr="00A74C66">
        <w:trPr>
          <w:trHeight w:val="548"/>
        </w:trPr>
        <w:tc>
          <w:tcPr>
            <w:tcW w:w="5598" w:type="dxa"/>
          </w:tcPr>
          <w:p w:rsidR="00810784" w:rsidRDefault="00E564F6" w:rsidP="00810784">
            <w:pPr>
              <w:pStyle w:val="NoSpacing"/>
              <w:rPr>
                <w:sz w:val="22"/>
              </w:rPr>
            </w:pPr>
            <w:r>
              <w:rPr>
                <w:sz w:val="22"/>
              </w:rPr>
              <w:t>TEAC 490 – Professional Seminar III: Student Teaching Mild/Moderate – (K-8)</w:t>
            </w:r>
          </w:p>
        </w:tc>
        <w:tc>
          <w:tcPr>
            <w:tcW w:w="5212" w:type="dxa"/>
          </w:tcPr>
          <w:p w:rsidR="00810784" w:rsidRPr="00331195" w:rsidRDefault="00810784" w:rsidP="00810784">
            <w:pPr>
              <w:pStyle w:val="NoSpacing"/>
              <w:rPr>
                <w:sz w:val="20"/>
                <w:szCs w:val="20"/>
              </w:rPr>
            </w:pPr>
            <w:r w:rsidRPr="00331195">
              <w:rPr>
                <w:sz w:val="20"/>
                <w:szCs w:val="20"/>
              </w:rPr>
              <w:t>No offered equivalence.</w:t>
            </w:r>
          </w:p>
        </w:tc>
      </w:tr>
    </w:tbl>
    <w:p w:rsidR="00C6427B" w:rsidRDefault="00654F8A" w:rsidP="00C6427B">
      <w:pPr>
        <w:pStyle w:val="NoSpacing"/>
        <w:rPr>
          <w:sz w:val="22"/>
        </w:rPr>
      </w:pPr>
      <w:r>
        <w:rPr>
          <w:sz w:val="22"/>
        </w:rPr>
        <w:t xml:space="preserve"> </w:t>
      </w:r>
    </w:p>
    <w:p w:rsidR="008701CD" w:rsidRDefault="008701CD" w:rsidP="00C6427B">
      <w:pPr>
        <w:pStyle w:val="NoSpacing"/>
        <w:rPr>
          <w:sz w:val="16"/>
          <w:szCs w:val="16"/>
        </w:rPr>
      </w:pPr>
    </w:p>
    <w:p w:rsidR="00810784" w:rsidRDefault="00810784" w:rsidP="00810784">
      <w:pPr>
        <w:pStyle w:val="NoSpacing"/>
        <w:rPr>
          <w:b/>
        </w:rPr>
      </w:pPr>
      <w:r>
        <w:rPr>
          <w:b/>
        </w:rPr>
        <w:t>Special Education</w:t>
      </w:r>
      <w:r w:rsidRPr="00D76F73">
        <w:rPr>
          <w:b/>
        </w:rPr>
        <w:t xml:space="preserve"> Endorsement (Grades 5 – 12)</w:t>
      </w:r>
      <w:r>
        <w:rPr>
          <w:b/>
        </w:rPr>
        <w:t xml:space="preserve"> </w:t>
      </w:r>
    </w:p>
    <w:p w:rsidR="00810784" w:rsidRDefault="00810784" w:rsidP="00810784">
      <w:pPr>
        <w:pStyle w:val="NoSpacing"/>
      </w:pPr>
      <w:r>
        <w:rPr>
          <w:szCs w:val="24"/>
        </w:rPr>
        <w:t xml:space="preserve">The Special Education Endorsement must be accompanied by certification as secondary teacher licensure. </w:t>
      </w:r>
    </w:p>
    <w:p w:rsidR="008701CD" w:rsidRPr="00810784" w:rsidRDefault="00810784" w:rsidP="00810784">
      <w:pPr>
        <w:pStyle w:val="NoSpacing"/>
        <w:tabs>
          <w:tab w:val="left" w:pos="300"/>
        </w:tabs>
        <w:rPr>
          <w:sz w:val="12"/>
          <w:szCs w:val="12"/>
        </w:rPr>
      </w:pPr>
      <w:r w:rsidRPr="00810784">
        <w:rPr>
          <w:sz w:val="12"/>
          <w:szCs w:val="12"/>
        </w:rPr>
        <w:tab/>
      </w:r>
    </w:p>
    <w:tbl>
      <w:tblPr>
        <w:tblStyle w:val="TableGrid"/>
        <w:tblW w:w="0" w:type="auto"/>
        <w:tblLook w:val="04A0" w:firstRow="1" w:lastRow="0" w:firstColumn="1" w:lastColumn="0" w:noHBand="0" w:noVBand="1"/>
      </w:tblPr>
      <w:tblGrid>
        <w:gridCol w:w="5598"/>
        <w:gridCol w:w="5260"/>
      </w:tblGrid>
      <w:tr w:rsidR="008701CD" w:rsidTr="00A74C66">
        <w:trPr>
          <w:trHeight w:val="230"/>
        </w:trPr>
        <w:tc>
          <w:tcPr>
            <w:tcW w:w="5598" w:type="dxa"/>
          </w:tcPr>
          <w:p w:rsidR="008701CD" w:rsidRPr="00810784" w:rsidRDefault="008701CD" w:rsidP="00810784">
            <w:pPr>
              <w:pStyle w:val="NoSpacing"/>
              <w:jc w:val="center"/>
              <w:rPr>
                <w:b/>
                <w:sz w:val="22"/>
              </w:rPr>
            </w:pPr>
            <w:r w:rsidRPr="00810784">
              <w:rPr>
                <w:b/>
                <w:sz w:val="22"/>
              </w:rPr>
              <w:t>Buena Vista University</w:t>
            </w:r>
          </w:p>
        </w:tc>
        <w:tc>
          <w:tcPr>
            <w:tcW w:w="5260" w:type="dxa"/>
          </w:tcPr>
          <w:p w:rsidR="008701CD" w:rsidRPr="00810784" w:rsidRDefault="00AE7853" w:rsidP="00810784">
            <w:pPr>
              <w:pStyle w:val="NoSpacing"/>
              <w:jc w:val="center"/>
              <w:rPr>
                <w:b/>
                <w:sz w:val="22"/>
              </w:rPr>
            </w:pPr>
            <w:r>
              <w:rPr>
                <w:b/>
                <w:sz w:val="22"/>
              </w:rPr>
              <w:t>Southeastern</w:t>
            </w:r>
            <w:r w:rsidR="009173C1" w:rsidRPr="007353AD">
              <w:rPr>
                <w:b/>
                <w:sz w:val="22"/>
              </w:rPr>
              <w:t xml:space="preserve"> Community College</w:t>
            </w:r>
          </w:p>
        </w:tc>
      </w:tr>
      <w:tr w:rsidR="00505925" w:rsidTr="00A74C66">
        <w:trPr>
          <w:trHeight w:val="460"/>
        </w:trPr>
        <w:tc>
          <w:tcPr>
            <w:tcW w:w="5598" w:type="dxa"/>
          </w:tcPr>
          <w:p w:rsidR="00505925" w:rsidRDefault="00505925" w:rsidP="00505925">
            <w:pPr>
              <w:pStyle w:val="NoSpacing"/>
              <w:rPr>
                <w:sz w:val="22"/>
              </w:rPr>
            </w:pPr>
            <w:r>
              <w:rPr>
                <w:sz w:val="22"/>
              </w:rPr>
              <w:t>EDCO 300 – Differentiated Instruction for Exceptional Learners</w:t>
            </w:r>
          </w:p>
        </w:tc>
        <w:tc>
          <w:tcPr>
            <w:tcW w:w="5260" w:type="dxa"/>
          </w:tcPr>
          <w:p w:rsidR="00505925" w:rsidRPr="00267793" w:rsidRDefault="00267793" w:rsidP="00267793">
            <w:pPr>
              <w:pStyle w:val="NoSpacing"/>
              <w:rPr>
                <w:sz w:val="22"/>
                <w:szCs w:val="20"/>
              </w:rPr>
            </w:pPr>
            <w:r>
              <w:rPr>
                <w:sz w:val="22"/>
                <w:szCs w:val="20"/>
              </w:rPr>
              <w:t>EDU 247 – Teaching Exceptional Learners</w:t>
            </w:r>
          </w:p>
        </w:tc>
      </w:tr>
      <w:tr w:rsidR="00505925" w:rsidTr="00A375B9">
        <w:trPr>
          <w:trHeight w:val="323"/>
        </w:trPr>
        <w:tc>
          <w:tcPr>
            <w:tcW w:w="5598" w:type="dxa"/>
          </w:tcPr>
          <w:p w:rsidR="00505925" w:rsidRDefault="00505925" w:rsidP="00505925">
            <w:pPr>
              <w:pStyle w:val="NoSpacing"/>
              <w:rPr>
                <w:sz w:val="22"/>
              </w:rPr>
            </w:pPr>
            <w:r>
              <w:rPr>
                <w:sz w:val="22"/>
              </w:rPr>
              <w:t xml:space="preserve">EDUC 317 – Foundations of Literacy  </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242"/>
        </w:trPr>
        <w:tc>
          <w:tcPr>
            <w:tcW w:w="5598" w:type="dxa"/>
          </w:tcPr>
          <w:p w:rsidR="00505925" w:rsidRDefault="00505925" w:rsidP="00505925">
            <w:pPr>
              <w:pStyle w:val="NoSpacing"/>
              <w:rPr>
                <w:sz w:val="22"/>
              </w:rPr>
            </w:pPr>
            <w:r>
              <w:rPr>
                <w:sz w:val="22"/>
              </w:rPr>
              <w:t>EDUC 371 – Methods of Data – Driven Literacy Instruction</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460"/>
        </w:trPr>
        <w:tc>
          <w:tcPr>
            <w:tcW w:w="5598" w:type="dxa"/>
          </w:tcPr>
          <w:p w:rsidR="00505925" w:rsidRDefault="00A375B9" w:rsidP="00505925">
            <w:pPr>
              <w:pStyle w:val="NoSpacing"/>
              <w:rPr>
                <w:sz w:val="22"/>
              </w:rPr>
            </w:pPr>
            <w:r>
              <w:rPr>
                <w:sz w:val="22"/>
              </w:rPr>
              <w:t>EDUC 393 – Elementary Math Methods and Field Experience</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230"/>
        </w:trPr>
        <w:tc>
          <w:tcPr>
            <w:tcW w:w="5598" w:type="dxa"/>
          </w:tcPr>
          <w:p w:rsidR="00505925" w:rsidRDefault="00A375B9" w:rsidP="00505925">
            <w:pPr>
              <w:pStyle w:val="NoSpacing"/>
              <w:rPr>
                <w:sz w:val="22"/>
              </w:rPr>
            </w:pPr>
            <w:r>
              <w:rPr>
                <w:sz w:val="22"/>
              </w:rPr>
              <w:t>ESSI 210 – Special Education Law and Professional Practices</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460"/>
        </w:trPr>
        <w:tc>
          <w:tcPr>
            <w:tcW w:w="5598" w:type="dxa"/>
          </w:tcPr>
          <w:p w:rsidR="00505925" w:rsidRDefault="00A375B9" w:rsidP="00505925">
            <w:pPr>
              <w:pStyle w:val="NoSpacing"/>
              <w:rPr>
                <w:sz w:val="22"/>
              </w:rPr>
            </w:pPr>
            <w:r>
              <w:rPr>
                <w:sz w:val="22"/>
              </w:rPr>
              <w:t>ESSI 220 – Multidisciplinary Assessment and Evaluation</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460"/>
        </w:trPr>
        <w:tc>
          <w:tcPr>
            <w:tcW w:w="5598" w:type="dxa"/>
          </w:tcPr>
          <w:p w:rsidR="00505925" w:rsidRDefault="00A375B9" w:rsidP="00505925">
            <w:pPr>
              <w:pStyle w:val="NoSpacing"/>
              <w:rPr>
                <w:sz w:val="22"/>
              </w:rPr>
            </w:pPr>
            <w:r>
              <w:rPr>
                <w:sz w:val="22"/>
              </w:rPr>
              <w:t>ESSI 230 – Transitions and Self-Determination</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260"/>
        </w:trPr>
        <w:tc>
          <w:tcPr>
            <w:tcW w:w="5598" w:type="dxa"/>
          </w:tcPr>
          <w:p w:rsidR="00505925" w:rsidRDefault="00A375B9" w:rsidP="00505925">
            <w:pPr>
              <w:pStyle w:val="NoSpacing"/>
              <w:rPr>
                <w:sz w:val="22"/>
              </w:rPr>
            </w:pPr>
            <w:r>
              <w:rPr>
                <w:sz w:val="22"/>
              </w:rPr>
              <w:t>ESSI 291 – Professional Seminar II: Supervised Participation in Special Education</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460"/>
        </w:trPr>
        <w:tc>
          <w:tcPr>
            <w:tcW w:w="5598" w:type="dxa"/>
          </w:tcPr>
          <w:p w:rsidR="00505925" w:rsidRDefault="00A375B9" w:rsidP="00505925">
            <w:pPr>
              <w:pStyle w:val="NoSpacing"/>
              <w:rPr>
                <w:sz w:val="22"/>
              </w:rPr>
            </w:pPr>
            <w:r>
              <w:rPr>
                <w:sz w:val="22"/>
              </w:rPr>
              <w:lastRenderedPageBreak/>
              <w:t>ESSI 303 – Curriculum Development and Instruction</w:t>
            </w:r>
            <w:r w:rsidR="00505925">
              <w:rPr>
                <w:sz w:val="22"/>
              </w:rPr>
              <w:t xml:space="preserve"> </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197"/>
        </w:trPr>
        <w:tc>
          <w:tcPr>
            <w:tcW w:w="5598" w:type="dxa"/>
          </w:tcPr>
          <w:p w:rsidR="00505925" w:rsidRDefault="00A375B9" w:rsidP="00505925">
            <w:pPr>
              <w:pStyle w:val="NoSpacing"/>
              <w:rPr>
                <w:sz w:val="22"/>
              </w:rPr>
            </w:pPr>
            <w:r>
              <w:rPr>
                <w:sz w:val="22"/>
              </w:rPr>
              <w:t>ESSI 310 – Behavior and Classroom Management</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230"/>
        </w:trPr>
        <w:tc>
          <w:tcPr>
            <w:tcW w:w="5598" w:type="dxa"/>
          </w:tcPr>
          <w:p w:rsidR="00505925" w:rsidRDefault="00A375B9" w:rsidP="00505925">
            <w:pPr>
              <w:pStyle w:val="NoSpacing"/>
              <w:rPr>
                <w:sz w:val="22"/>
              </w:rPr>
            </w:pPr>
            <w:r>
              <w:rPr>
                <w:sz w:val="22"/>
              </w:rPr>
              <w:t>TEAC 491 – Professional Seminar III: Student Teaching Mild/Moderate – (5-12)</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r w:rsidR="00505925" w:rsidTr="00A74C66">
        <w:trPr>
          <w:trHeight w:val="485"/>
        </w:trPr>
        <w:tc>
          <w:tcPr>
            <w:tcW w:w="5598" w:type="dxa"/>
          </w:tcPr>
          <w:p w:rsidR="00505925" w:rsidRDefault="00A375B9" w:rsidP="00505925">
            <w:pPr>
              <w:pStyle w:val="NoSpacing"/>
              <w:rPr>
                <w:sz w:val="22"/>
              </w:rPr>
            </w:pPr>
            <w:r>
              <w:rPr>
                <w:sz w:val="22"/>
              </w:rPr>
              <w:t>SEDU 365 – Methods of Reading in the Content Areas</w:t>
            </w:r>
          </w:p>
        </w:tc>
        <w:tc>
          <w:tcPr>
            <w:tcW w:w="5260" w:type="dxa"/>
          </w:tcPr>
          <w:p w:rsidR="00505925" w:rsidRPr="00331195" w:rsidRDefault="00505925" w:rsidP="00505925">
            <w:pPr>
              <w:pStyle w:val="NoSpacing"/>
              <w:rPr>
                <w:sz w:val="20"/>
                <w:szCs w:val="20"/>
              </w:rPr>
            </w:pPr>
            <w:r w:rsidRPr="00331195">
              <w:rPr>
                <w:sz w:val="20"/>
                <w:szCs w:val="20"/>
              </w:rPr>
              <w:t>No offered equivalence.</w:t>
            </w:r>
          </w:p>
        </w:tc>
      </w:tr>
    </w:tbl>
    <w:p w:rsidR="008701CD" w:rsidRPr="008701CD" w:rsidRDefault="008701CD" w:rsidP="00C6427B">
      <w:pPr>
        <w:pStyle w:val="NoSpacing"/>
        <w:rPr>
          <w:sz w:val="22"/>
        </w:rPr>
      </w:pPr>
    </w:p>
    <w:p w:rsidR="00331195" w:rsidRDefault="00331195" w:rsidP="00C6427B">
      <w:pPr>
        <w:pStyle w:val="NoSpacing"/>
        <w:rPr>
          <w:sz w:val="16"/>
          <w:szCs w:val="16"/>
        </w:rPr>
      </w:pPr>
    </w:p>
    <w:p w:rsidR="004611FF" w:rsidRDefault="00AE7853" w:rsidP="00AE7853">
      <w:pPr>
        <w:pStyle w:val="NoSpacing"/>
        <w:rPr>
          <w:i/>
          <w:szCs w:val="24"/>
        </w:rPr>
      </w:pPr>
      <w:r w:rsidRPr="00526539">
        <w:rPr>
          <w:i/>
          <w:szCs w:val="24"/>
        </w:rPr>
        <w:t>All transcripts will be evaluated on an individual basis. If questions should arise, please contact BVU Graduate &amp; Professional Studie</w:t>
      </w:r>
      <w:r>
        <w:rPr>
          <w:i/>
          <w:szCs w:val="24"/>
        </w:rPr>
        <w:t>s West Burlington Site at (712) 749-1980. 1500 W. Agency Rd. Room 511, West Burlington, IA 52655</w:t>
      </w:r>
    </w:p>
    <w:sectPr w:rsidR="004611FF" w:rsidSect="003506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7B"/>
    <w:rsid w:val="00055A60"/>
    <w:rsid w:val="001638F9"/>
    <w:rsid w:val="00267793"/>
    <w:rsid w:val="00331195"/>
    <w:rsid w:val="003506AB"/>
    <w:rsid w:val="00426F5A"/>
    <w:rsid w:val="00444268"/>
    <w:rsid w:val="004611FF"/>
    <w:rsid w:val="00505925"/>
    <w:rsid w:val="00654F8A"/>
    <w:rsid w:val="006B5E76"/>
    <w:rsid w:val="00810784"/>
    <w:rsid w:val="008701CD"/>
    <w:rsid w:val="008B7F63"/>
    <w:rsid w:val="009173C1"/>
    <w:rsid w:val="009D6754"/>
    <w:rsid w:val="009F2008"/>
    <w:rsid w:val="00A375B9"/>
    <w:rsid w:val="00A74C66"/>
    <w:rsid w:val="00A84D7A"/>
    <w:rsid w:val="00AE7853"/>
    <w:rsid w:val="00B167BC"/>
    <w:rsid w:val="00C6427B"/>
    <w:rsid w:val="00C82D8B"/>
    <w:rsid w:val="00E5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4D7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268"/>
    <w:pPr>
      <w:spacing w:after="0" w:line="240" w:lineRule="auto"/>
    </w:pPr>
    <w:rPr>
      <w:rFonts w:ascii="Times New Roman" w:hAnsi="Times New Roman"/>
      <w:sz w:val="24"/>
    </w:rPr>
  </w:style>
  <w:style w:type="table" w:styleId="TableGrid">
    <w:name w:val="Table Grid"/>
    <w:basedOn w:val="TableNormal"/>
    <w:uiPriority w:val="59"/>
    <w:rsid w:val="00C6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853"/>
    <w:rPr>
      <w:rFonts w:ascii="Tahoma" w:hAnsi="Tahoma" w:cs="Tahoma"/>
      <w:sz w:val="16"/>
      <w:szCs w:val="16"/>
    </w:rPr>
  </w:style>
  <w:style w:type="character" w:customStyle="1" w:styleId="BalloonTextChar">
    <w:name w:val="Balloon Text Char"/>
    <w:basedOn w:val="DefaultParagraphFont"/>
    <w:link w:val="BalloonText"/>
    <w:uiPriority w:val="99"/>
    <w:semiHidden/>
    <w:rsid w:val="00AE7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4D7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268"/>
    <w:pPr>
      <w:spacing w:after="0" w:line="240" w:lineRule="auto"/>
    </w:pPr>
    <w:rPr>
      <w:rFonts w:ascii="Times New Roman" w:hAnsi="Times New Roman"/>
      <w:sz w:val="24"/>
    </w:rPr>
  </w:style>
  <w:style w:type="table" w:styleId="TableGrid">
    <w:name w:val="Table Grid"/>
    <w:basedOn w:val="TableNormal"/>
    <w:uiPriority w:val="59"/>
    <w:rsid w:val="00C6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853"/>
    <w:rPr>
      <w:rFonts w:ascii="Tahoma" w:hAnsi="Tahoma" w:cs="Tahoma"/>
      <w:sz w:val="16"/>
      <w:szCs w:val="16"/>
    </w:rPr>
  </w:style>
  <w:style w:type="character" w:customStyle="1" w:styleId="BalloonTextChar">
    <w:name w:val="Balloon Text Char"/>
    <w:basedOn w:val="DefaultParagraphFont"/>
    <w:link w:val="BalloonText"/>
    <w:uiPriority w:val="99"/>
    <w:semiHidden/>
    <w:rsid w:val="00AE7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Morad</dc:creator>
  <cp:lastModifiedBy>Brooke Helmold</cp:lastModifiedBy>
  <cp:revision>6</cp:revision>
  <dcterms:created xsi:type="dcterms:W3CDTF">2015-08-13T22:51:00Z</dcterms:created>
  <dcterms:modified xsi:type="dcterms:W3CDTF">2015-10-15T19:00:00Z</dcterms:modified>
</cp:coreProperties>
</file>